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40"/>
        <w:jc w:val="center"/>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152"/>
        <w:ind w:hanging="0" w:start="40"/>
        <w:jc w:val="center"/>
        <w:rPr/>
      </w:pPr>
      <w:r>
        <w:rPr>
          <w:sz w:val="18"/>
        </w:rPr>
        <w:t xml:space="preserve"> </w:t>
      </w:r>
    </w:p>
    <w:p>
      <w:pPr>
        <w:pStyle w:val="Normal"/>
        <w:spacing w:lineRule="auto" w:line="259" w:before="0" w:after="0"/>
        <w:ind w:hanging="10" w:start="10" w:end="1887"/>
        <w:jc w:val="end"/>
        <w:rPr/>
      </w:pPr>
      <w:r>
        <w:rPr>
          <w:b/>
          <w:sz w:val="36"/>
        </w:rPr>
        <w:t xml:space="preserve">SPECYFIKACJA TECHNICZNA </w:t>
      </w:r>
    </w:p>
    <w:p>
      <w:pPr>
        <w:pStyle w:val="Normal"/>
        <w:spacing w:lineRule="auto" w:line="259" w:before="0" w:after="0"/>
        <w:ind w:hanging="0" w:start="0"/>
        <w:jc w:val="start"/>
        <w:rPr/>
      </w:pPr>
      <w:r>
        <w:rPr>
          <w:b/>
          <w:sz w:val="36"/>
        </w:rPr>
        <w:t xml:space="preserve"> </w:t>
      </w:r>
    </w:p>
    <w:p>
      <w:pPr>
        <w:pStyle w:val="Normal"/>
        <w:spacing w:lineRule="auto" w:line="259" w:before="0" w:after="0"/>
        <w:ind w:hanging="10" w:start="10" w:end="1631"/>
        <w:jc w:val="end"/>
        <w:rPr/>
      </w:pPr>
      <w:r>
        <w:rPr>
          <w:b/>
          <w:sz w:val="36"/>
        </w:rPr>
        <w:t xml:space="preserve">WYKONANIA I ODBIORU ROBÓT </w:t>
      </w:r>
    </w:p>
    <w:p>
      <w:pPr>
        <w:pStyle w:val="Normal"/>
        <w:spacing w:lineRule="auto" w:line="259" w:before="0" w:after="0"/>
        <w:ind w:hanging="0" w:start="85"/>
        <w:jc w:val="center"/>
        <w:rPr/>
      </w:pPr>
      <w:r>
        <w:rPr>
          <w:b/>
          <w:sz w:val="36"/>
        </w:rPr>
        <w:t xml:space="preserve"> </w:t>
      </w:r>
    </w:p>
    <w:p>
      <w:pPr>
        <w:pStyle w:val="Normal"/>
        <w:spacing w:lineRule="auto" w:line="259" w:before="0" w:after="0"/>
        <w:ind w:hanging="0" w:start="0"/>
        <w:jc w:val="start"/>
        <w:rPr>
          <w:b/>
          <w:sz w:val="36"/>
        </w:rPr>
      </w:pPr>
      <w:r>
        <w:rPr>
          <w:b/>
          <w:sz w:val="36"/>
        </w:rPr>
        <w:t xml:space="preserve"> </w:t>
      </w:r>
    </w:p>
    <w:p>
      <w:pPr>
        <w:pStyle w:val="Normal"/>
        <w:spacing w:lineRule="auto" w:line="259" w:before="0" w:after="0"/>
        <w:ind w:hanging="0" w:start="0"/>
        <w:jc w:val="start"/>
        <w:rPr/>
      </w:pPr>
      <w:r>
        <w:rPr/>
      </w:r>
    </w:p>
    <w:p>
      <w:pPr>
        <w:pStyle w:val="Normal"/>
        <w:spacing w:lineRule="auto" w:line="259" w:before="0" w:after="0"/>
        <w:ind w:hanging="0" w:start="0"/>
        <w:jc w:val="start"/>
        <w:rPr>
          <w:b/>
          <w:sz w:val="36"/>
        </w:rPr>
      </w:pPr>
      <w:r>
        <w:rPr>
          <w:b/>
          <w:sz w:val="36"/>
        </w:rPr>
        <w:t xml:space="preserve"> </w:t>
      </w:r>
    </w:p>
    <w:p>
      <w:pPr>
        <w:pStyle w:val="Normal"/>
        <w:spacing w:lineRule="auto" w:line="259" w:before="0" w:after="0"/>
        <w:ind w:hanging="0" w:start="0"/>
        <w:jc w:val="start"/>
        <w:rPr/>
      </w:pPr>
      <w:r>
        <w:rPr/>
      </w:r>
    </w:p>
    <w:p>
      <w:pPr>
        <w:pStyle w:val="Normal"/>
        <w:spacing w:lineRule="auto" w:line="259" w:before="0" w:after="0"/>
        <w:ind w:hanging="0" w:start="0"/>
        <w:jc w:val="start"/>
        <w:rPr/>
      </w:pPr>
      <w:r>
        <w:rPr/>
      </w:r>
    </w:p>
    <w:p>
      <w:pPr>
        <w:pStyle w:val="Normal"/>
        <w:spacing w:lineRule="auto" w:line="259" w:before="0" w:after="0"/>
        <w:ind w:hanging="10" w:start="10" w:end="5"/>
        <w:jc w:val="center"/>
        <w:rPr>
          <w:sz w:val="32"/>
          <w:szCs w:val="32"/>
        </w:rPr>
      </w:pPr>
      <w:r>
        <w:rPr>
          <w:b/>
          <w:sz w:val="32"/>
          <w:szCs w:val="32"/>
        </w:rPr>
        <w:t>ST 1.  WYMAGANIA OGÓLNE</w:t>
      </w:r>
    </w:p>
    <w:p>
      <w:pPr>
        <w:pStyle w:val="Normal"/>
        <w:spacing w:lineRule="auto" w:line="259" w:before="0" w:after="0"/>
        <w:ind w:hanging="0" w:start="85"/>
        <w:jc w:val="center"/>
        <w:rPr/>
      </w:pPr>
      <w:r>
        <w:rPr>
          <w:b/>
          <w:sz w:val="36"/>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8"/>
        <w:ind w:hanging="0" w:start="0"/>
        <w:jc w:val="start"/>
        <w:rPr/>
      </w:pPr>
      <w:r>
        <w:rPr>
          <w:sz w:val="18"/>
        </w:rPr>
        <w:t xml:space="preserve"> </w:t>
      </w:r>
    </w:p>
    <w:p>
      <w:pPr>
        <w:pStyle w:val="Normal"/>
        <w:spacing w:lineRule="auto" w:line="259" w:before="0" w:after="0"/>
        <w:ind w:hanging="0" w:start="0"/>
        <w:jc w:val="start"/>
        <w:rPr/>
      </w:pPr>
      <w:r>
        <w:rPr>
          <w:sz w:val="18"/>
        </w:rPr>
        <w:t xml:space="preserve"> </w:t>
      </w:r>
      <w:r>
        <w:rPr>
          <w:sz w:val="18"/>
        </w:rPr>
        <w:tab/>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sz w:val="18"/>
        </w:rPr>
      </w:pPr>
      <w:r>
        <w:rPr>
          <w:sz w:val="18"/>
        </w:rPr>
        <w:t xml:space="preserve"> </w:t>
      </w:r>
    </w:p>
    <w:p>
      <w:pPr>
        <w:pStyle w:val="Normal"/>
        <w:spacing w:lineRule="auto" w:line="259" w:before="0" w:after="0"/>
        <w:ind w:hanging="0" w:start="0"/>
        <w:jc w:val="start"/>
        <w:rPr/>
      </w:pPr>
      <w:r>
        <w:rPr/>
      </w:r>
    </w:p>
    <w:p>
      <w:pPr>
        <w:pStyle w:val="Normal"/>
        <w:spacing w:lineRule="auto" w:line="259" w:before="0" w:after="0"/>
        <w:ind w:hanging="0" w:start="0"/>
        <w:jc w:val="start"/>
        <w:rPr/>
      </w:pPr>
      <w:r>
        <w:rPr/>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spacing w:lineRule="auto" w:line="259" w:before="0" w:after="0"/>
        <w:ind w:hanging="0" w:start="0"/>
        <w:jc w:val="start"/>
        <w:rPr/>
      </w:pPr>
      <w:r>
        <w:rPr>
          <w:sz w:val="18"/>
        </w:rPr>
        <w:t xml:space="preserve"> </w:t>
      </w:r>
    </w:p>
    <w:p>
      <w:pPr>
        <w:pStyle w:val="Normal"/>
        <w:numPr>
          <w:ilvl w:val="0"/>
          <w:numId w:val="1"/>
        </w:numPr>
        <w:ind w:hanging="360" w:start="360"/>
        <w:rPr/>
      </w:pPr>
      <w:r>
        <w:rPr/>
        <w:t xml:space="preserve">Wstęp.  </w:t>
      </w:r>
    </w:p>
    <w:p>
      <w:pPr>
        <w:pStyle w:val="Normal"/>
        <w:numPr>
          <w:ilvl w:val="1"/>
          <w:numId w:val="1"/>
        </w:numPr>
        <w:ind w:hanging="348" w:start="708"/>
        <w:rPr/>
      </w:pPr>
      <w:r>
        <w:rPr/>
        <w:t xml:space="preserve">Przedmiot Specyfikacji Technicznej. </w:t>
      </w:r>
    </w:p>
    <w:p>
      <w:pPr>
        <w:pStyle w:val="Normal"/>
        <w:ind w:hanging="8" w:start="702"/>
        <w:rPr/>
      </w:pPr>
      <w:r>
        <w:rPr/>
        <w:t xml:space="preserve">Specyfikacja techniczna ST1 – Wymagania Ogólne, odnosi się do wymagań  wspólnych dla wszystkich wymagań technicznych dotyczących wykonania i odbioru robót, które zostaną wykonane podczas prac remontowych wykonywanych na zlecenie Politechniki Poznańskiej w Poznaniu </w:t>
      </w:r>
    </w:p>
    <w:p>
      <w:pPr>
        <w:pStyle w:val="Normal"/>
        <w:ind w:hanging="8" w:start="702"/>
        <w:rPr/>
      </w:pPr>
      <w:r>
        <w:rPr/>
        <w:t xml:space="preserve">Zakres stosowania Specyfikacji Technicznej. </w:t>
      </w:r>
    </w:p>
    <w:p>
      <w:pPr>
        <w:pStyle w:val="Normal"/>
        <w:ind w:hanging="8" w:start="800"/>
        <w:rPr/>
      </w:pPr>
      <w:r>
        <w:rPr/>
        <w:t xml:space="preserve">Niniejsza specyfikacja stanowi podstawę opracowania </w:t>
      </w:r>
      <w:bookmarkStart w:id="0" w:name="_GoBack"/>
      <w:bookmarkEnd w:id="0"/>
      <w:r>
        <w:rPr/>
        <w:t xml:space="preserve">szczegółowej specyfikacji technicznej dla robót budowlanych. Specyfikacja techniczna stosowana jest jako dokument przetargowy i kontraktowy przy zlecaniu i realizacji robót w obiekcie wymienionym w pkt.1.1. Ponadto zgodnie z Rozporządzeniem </w:t>
        <w:br/>
        <w:t xml:space="preserve">w sprawie określenia metod i sporządzania kosztorysu inwestorskiego niniejsza Specyfikacja Techniczna stanowi podstawę sporządzania kosztorysu inwestorskiego. </w:t>
      </w:r>
    </w:p>
    <w:p>
      <w:pPr>
        <w:pStyle w:val="Normal"/>
        <w:ind w:hanging="8" w:start="800"/>
        <w:rPr/>
      </w:pPr>
      <w:r>
        <w:rPr/>
      </w:r>
    </w:p>
    <w:p>
      <w:pPr>
        <w:pStyle w:val="Normal"/>
        <w:numPr>
          <w:ilvl w:val="1"/>
          <w:numId w:val="1"/>
        </w:numPr>
        <w:ind w:hanging="348" w:start="708"/>
        <w:rPr/>
      </w:pPr>
      <w:r>
        <w:rPr/>
        <w:t xml:space="preserve">Zakres robót objętych Specyfikacja Techniczną. </w:t>
      </w:r>
    </w:p>
    <w:p>
      <w:pPr>
        <w:pStyle w:val="Normal"/>
        <w:ind w:hanging="8" w:start="800"/>
        <w:rPr/>
      </w:pPr>
      <w:r>
        <w:rPr/>
        <w:t xml:space="preserve">Wymagania ogólne należy rozumieć i stosować w powiązaniu z niżej wymienionymi Specyfikacjami Technicznymi: </w:t>
      </w:r>
    </w:p>
    <w:p>
      <w:pPr>
        <w:pStyle w:val="Normal"/>
        <w:numPr>
          <w:ilvl w:val="2"/>
          <w:numId w:val="1"/>
        </w:numPr>
        <w:ind w:hanging="360" w:start="1152"/>
        <w:rPr/>
      </w:pPr>
      <w:r>
        <w:rPr/>
        <w:t xml:space="preserve">roboty rozbiórkowe </w:t>
      </w:r>
    </w:p>
    <w:p>
      <w:pPr>
        <w:pStyle w:val="Normal"/>
        <w:numPr>
          <w:ilvl w:val="2"/>
          <w:numId w:val="1"/>
        </w:numPr>
        <w:ind w:hanging="360" w:start="1152"/>
        <w:rPr/>
      </w:pPr>
      <w:r>
        <w:rPr/>
        <w:t xml:space="preserve">roboty wykończeniowe </w:t>
      </w:r>
    </w:p>
    <w:p>
      <w:pPr>
        <w:pStyle w:val="Normal"/>
        <w:numPr>
          <w:ilvl w:val="2"/>
          <w:numId w:val="1"/>
        </w:numPr>
        <w:ind w:hanging="360" w:start="1152"/>
        <w:rPr/>
      </w:pPr>
      <w:r>
        <w:rPr/>
        <w:t>instalacje sanitarne</w:t>
      </w:r>
    </w:p>
    <w:p>
      <w:pPr>
        <w:pStyle w:val="Normal"/>
        <w:numPr>
          <w:ilvl w:val="2"/>
          <w:numId w:val="1"/>
        </w:numPr>
        <w:ind w:hanging="360" w:start="1152"/>
        <w:rPr/>
      </w:pPr>
      <w:r>
        <w:rPr>
          <w:rFonts w:eastAsia="Arial"/>
        </w:rPr>
        <w:t>instalacje elektryczne</w:t>
      </w:r>
    </w:p>
    <w:p>
      <w:pPr>
        <w:pStyle w:val="Normal"/>
        <w:numPr>
          <w:ilvl w:val="2"/>
          <w:numId w:val="1"/>
        </w:numPr>
        <w:ind w:hanging="360" w:start="1152"/>
        <w:rPr/>
      </w:pPr>
      <w:r>
        <w:rPr>
          <w:rFonts w:eastAsia="Arial"/>
        </w:rPr>
        <w:t>instalacje teletechniczne</w:t>
      </w:r>
      <w:r>
        <w:rPr>
          <w:rFonts w:eastAsia="Arial" w:cs="Arial" w:ascii="Arial" w:hAnsi="Arial"/>
        </w:rPr>
        <w:tab/>
      </w:r>
    </w:p>
    <w:p>
      <w:pPr>
        <w:pStyle w:val="Normal"/>
        <w:ind w:hanging="0" w:start="1152"/>
        <w:rPr/>
      </w:pPr>
      <w:r>
        <w:rPr/>
        <w:t xml:space="preserve"> </w:t>
      </w:r>
    </w:p>
    <w:p>
      <w:pPr>
        <w:pStyle w:val="Normal"/>
        <w:numPr>
          <w:ilvl w:val="1"/>
          <w:numId w:val="1"/>
        </w:numPr>
        <w:ind w:hanging="348" w:start="708"/>
        <w:rPr/>
      </w:pPr>
      <w:r>
        <w:rPr/>
        <w:t xml:space="preserve">Określenia podstawowe. </w:t>
      </w:r>
    </w:p>
    <w:p>
      <w:pPr>
        <w:pStyle w:val="Normal"/>
        <w:ind w:hanging="8" w:start="702"/>
        <w:rPr/>
      </w:pPr>
      <w:r>
        <w:rPr/>
        <w:t xml:space="preserve">Użyte w ST i wymienione poniżej określenia należy rozumieć w każdym przypadku następująco: </w:t>
      </w:r>
    </w:p>
    <w:p>
      <w:pPr>
        <w:pStyle w:val="Normal"/>
        <w:ind w:hanging="8" w:start="702"/>
        <w:rPr/>
      </w:pPr>
      <w:r>
        <w:rPr>
          <w:u w:val="single"/>
        </w:rPr>
        <w:t>Inspektor nadzoru</w:t>
      </w:r>
      <w:r>
        <w:rPr/>
        <w:t xml:space="preserve"> – osoba lub osoby wymienione w danych kontraktowych ( wyznaczone przez Zamawiającego, o których wyznaczeniu poinformowany jest Wykonawca), odpowiedzialne za nadzorowanie robót i administrowanie kontraktem. </w:t>
      </w:r>
    </w:p>
    <w:p>
      <w:pPr>
        <w:pStyle w:val="Normal"/>
        <w:ind w:hanging="8" w:start="702"/>
        <w:rPr/>
      </w:pPr>
      <w:r>
        <w:rPr>
          <w:u w:val="single"/>
        </w:rPr>
        <w:t>Kierownik Budowy</w:t>
      </w:r>
      <w:r>
        <w:rPr/>
        <w:t xml:space="preserve"> – uprawniona osoba wyznaczona przez Wykonawcę, upoważniona do kierowania </w:t>
        <w:br/>
        <w:t xml:space="preserve">i do występowania w jego imieniu w sprawach realizacji Umowy. </w:t>
      </w:r>
    </w:p>
    <w:p>
      <w:pPr>
        <w:pStyle w:val="Normal"/>
        <w:ind w:hanging="8" w:start="702"/>
        <w:rPr/>
      </w:pPr>
      <w:r>
        <w:rPr>
          <w:u w:val="single"/>
        </w:rPr>
        <w:t>Materiały</w:t>
      </w:r>
      <w:r>
        <w:rPr/>
        <w:t xml:space="preserve"> – wszelkie tworzywa niezbędne do wykonania robót, zgodnie z Rysunkami i Specyfikacjami Technicznymi, zaakceptowane przez Zamawiającego. </w:t>
      </w:r>
    </w:p>
    <w:p>
      <w:pPr>
        <w:pStyle w:val="Normal"/>
        <w:ind w:hanging="8" w:start="702"/>
        <w:rPr/>
      </w:pPr>
      <w:r>
        <w:rPr>
          <w:u w:val="single"/>
        </w:rPr>
        <w:t>Polecenie Inspektora nadzoru</w:t>
      </w:r>
      <w:r>
        <w:rPr/>
        <w:t xml:space="preserve"> – wszelkie polecenia przekazywane Wykonawcy przez Inspektora, </w:t>
        <w:br/>
        <w:t xml:space="preserve">w formie pisemnej, dotyczące sposobu realizacji robót lub innych spraw  związanych z prowadzeniem budowy. </w:t>
      </w:r>
    </w:p>
    <w:p>
      <w:pPr>
        <w:pStyle w:val="Normal"/>
        <w:ind w:hanging="8" w:start="702"/>
        <w:rPr/>
      </w:pPr>
      <w:r>
        <w:rPr>
          <w:u w:val="single"/>
        </w:rPr>
        <w:t>Przedmiar robót</w:t>
      </w:r>
      <w:r>
        <w:rPr/>
        <w:t xml:space="preserve"> – kosztorys ślepy – wykaz robót podstawowych przewidzianych do wykonania </w:t>
        <w:br/>
        <w:t xml:space="preserve">z podaniem ich ilości. </w:t>
      </w:r>
    </w:p>
    <w:p>
      <w:pPr>
        <w:pStyle w:val="Normal"/>
        <w:ind w:hanging="8" w:start="702"/>
        <w:rPr/>
      </w:pPr>
      <w:r>
        <w:rPr>
          <w:u w:val="single"/>
        </w:rPr>
        <w:t>Teren budowy</w:t>
      </w:r>
      <w:r>
        <w:rPr/>
        <w:t xml:space="preserve"> – teren udostępniony przez Zamawiającego dla wykonania na nim robót. </w:t>
      </w:r>
    </w:p>
    <w:p>
      <w:pPr>
        <w:pStyle w:val="Normal"/>
        <w:ind w:hanging="8" w:start="702"/>
        <w:rPr/>
      </w:pPr>
      <w:r>
        <w:rPr>
          <w:u w:val="single"/>
        </w:rPr>
        <w:t>Odpowiednia (bliska) zgodność</w:t>
      </w:r>
      <w:r>
        <w:rPr/>
        <w:t xml:space="preserve"> – zgodność wykonywanych robót z dopuszczonymi tolerancjami, a jeśli przedział tolerancji nie został określony – z przeciętnymi tolerancjami przyjmowanymi zwyczajowo dla danego rodzaju robot budowlanych. </w:t>
      </w:r>
    </w:p>
    <w:p>
      <w:pPr>
        <w:pStyle w:val="Normal"/>
        <w:ind w:hanging="8" w:start="702"/>
        <w:rPr/>
      </w:pPr>
      <w:r>
        <w:rPr>
          <w:u w:val="single"/>
        </w:rPr>
        <w:t>Dokumentacja Projektowa</w:t>
      </w:r>
      <w:r>
        <w:rPr/>
        <w:t xml:space="preserve"> – projekty budowlane, projekty techniczne, opracowania techniczne, szkice pomocnicze, które wskazują lokalizację, charakterystykę i wymiary elementu będącego przedmiotem robót. </w:t>
      </w:r>
    </w:p>
    <w:p>
      <w:pPr>
        <w:pStyle w:val="Normal"/>
        <w:ind w:hanging="8" w:start="702"/>
        <w:rPr/>
      </w:pPr>
      <w:r>
        <w:rPr>
          <w:u w:val="single"/>
        </w:rPr>
        <w:t>Plan bezpieczeństwa i ochrony zdrowia</w:t>
      </w:r>
      <w:r>
        <w:rPr/>
        <w:t xml:space="preserve"> – określa Rozporządzenia Ministra Infrastruktury z dnia 23-062003 r. (Dz. U. nr 120, poz. 1126). </w:t>
      </w:r>
    </w:p>
    <w:p>
      <w:pPr>
        <w:pStyle w:val="Normal"/>
        <w:ind w:hanging="8" w:start="702"/>
        <w:rPr/>
      </w:pPr>
      <w:r>
        <w:rPr>
          <w:u w:val="single"/>
        </w:rPr>
        <w:t>Instrukcja bezpiecznego wykonywania robót budowlanych</w:t>
      </w:r>
      <w:r>
        <w:rPr/>
        <w:t xml:space="preserve"> – sposób zapobiegania zagrożeniom związanym z wykonywaniem robót budowlanych oraz sposób postępowania w przypadku wystąpienia tych zagrożeń. </w:t>
      </w:r>
    </w:p>
    <w:p>
      <w:pPr>
        <w:pStyle w:val="Normal"/>
        <w:ind w:hanging="8" w:start="702"/>
        <w:rPr/>
      </w:pPr>
      <w:r>
        <w:rPr/>
      </w:r>
    </w:p>
    <w:p>
      <w:pPr>
        <w:pStyle w:val="Normal"/>
        <w:ind w:hanging="8" w:start="702"/>
        <w:rPr/>
      </w:pPr>
      <w:r>
        <w:rPr/>
      </w:r>
    </w:p>
    <w:p>
      <w:pPr>
        <w:pStyle w:val="Normal"/>
        <w:ind w:hanging="8" w:start="702"/>
        <w:rPr/>
      </w:pPr>
      <w:r>
        <w:rPr/>
      </w:r>
    </w:p>
    <w:p>
      <w:pPr>
        <w:pStyle w:val="Normal"/>
        <w:ind w:hanging="8" w:start="368"/>
        <w:rPr/>
      </w:pPr>
      <w:r>
        <w:rPr/>
        <w:t>1.4.</w:t>
      </w:r>
      <w:r>
        <w:rPr>
          <w:rFonts w:eastAsia="Arial" w:cs="Arial" w:ascii="Arial" w:hAnsi="Arial"/>
        </w:rPr>
        <w:t xml:space="preserve"> </w:t>
      </w:r>
      <w:r>
        <w:rPr/>
        <w:t xml:space="preserve">Ogólne wymagania dotyczące robót. </w:t>
      </w:r>
    </w:p>
    <w:p>
      <w:pPr>
        <w:pStyle w:val="Normal"/>
        <w:ind w:hanging="8" w:start="800"/>
        <w:rPr/>
      </w:pPr>
      <w:r>
        <w:rPr/>
        <w:t xml:space="preserve">Wykonawca jest odpowiedzialny za jakość wykonywania robót, bezpieczeństwo wszelkich czynności na terenie budowy, metody użyte przy budowie oraz za ich zgodność z Dokumentacją Projektową, Specyfikacją Techniczną Wykonania i Odbioru Robót Budowlanych (ST). </w:t>
      </w:r>
    </w:p>
    <w:p>
      <w:pPr>
        <w:pStyle w:val="Normal"/>
        <w:ind w:hanging="8" w:start="800"/>
        <w:rPr/>
      </w:pPr>
      <w:r>
        <w:rPr/>
      </w:r>
    </w:p>
    <w:p>
      <w:pPr>
        <w:pStyle w:val="Normal"/>
        <w:ind w:hanging="8" w:start="368"/>
        <w:rPr/>
      </w:pPr>
      <w:r>
        <w:rPr/>
        <w:t>1.5.</w:t>
      </w:r>
      <w:r>
        <w:rPr>
          <w:rFonts w:eastAsia="Arial" w:cs="Arial" w:ascii="Arial" w:hAnsi="Arial"/>
        </w:rPr>
        <w:t xml:space="preserve"> </w:t>
      </w:r>
      <w:r>
        <w:rPr/>
        <w:t xml:space="preserve">Przekazanie terenu budowy.  </w:t>
      </w:r>
    </w:p>
    <w:p>
      <w:pPr>
        <w:pStyle w:val="Normal"/>
        <w:ind w:hanging="8" w:start="800"/>
        <w:rPr/>
      </w:pPr>
      <w:r>
        <w:rPr/>
        <w:t>Zamawiający w terminie określonym w warunkach Umowy przekaże Wykonawcy teren budowy wraz ze wszystkimi wymaganymi uzgodnieniami prawnymi i administracyjnymi, Dokumentacją projektową.</w:t>
      </w:r>
    </w:p>
    <w:p>
      <w:pPr>
        <w:pStyle w:val="Normal"/>
        <w:ind w:hanging="8" w:start="800"/>
        <w:rPr/>
      </w:pPr>
      <w:r>
        <w:rPr/>
      </w:r>
    </w:p>
    <w:p>
      <w:pPr>
        <w:pStyle w:val="Normal"/>
        <w:ind w:hanging="8" w:start="368"/>
        <w:rPr/>
      </w:pPr>
      <w:r>
        <w:rPr/>
        <w:t>1.7.</w:t>
      </w:r>
      <w:r>
        <w:rPr>
          <w:rFonts w:eastAsia="Arial" w:cs="Arial" w:ascii="Arial" w:hAnsi="Arial"/>
        </w:rPr>
        <w:t xml:space="preserve"> </w:t>
      </w:r>
      <w:r>
        <w:rPr/>
        <w:t xml:space="preserve">Zgodność robót z Dokumentacją Projektową i ST. </w:t>
      </w:r>
    </w:p>
    <w:p>
      <w:pPr>
        <w:pStyle w:val="Normal"/>
        <w:ind w:hanging="8" w:start="702"/>
        <w:rPr/>
      </w:pPr>
      <w:r>
        <w:rPr/>
        <w:t xml:space="preserve">Dokumentacja Projektowa, Specyfikacja Techniczna oraz dodatkowe dokumenty przekazane przez Inspektora Wykonawcy stanowią część Umowy, a wymagania wyszczególnione w choćby jednym z nich są obowiązujące dla Wykonawcy tak jakby były w całej dokumentacji. </w:t>
      </w:r>
    </w:p>
    <w:p>
      <w:pPr>
        <w:pStyle w:val="Normal"/>
        <w:ind w:hanging="8" w:start="702"/>
        <w:rPr/>
      </w:pPr>
      <w:r>
        <w:rPr/>
        <w:t xml:space="preserve">Wykonawca nie może wykorzystywać błędów lub uproszczeń w Dokumentach Kontraktowych i Umowy, a ich wykryciu winien natychmiast powiadomić Inspektora, który dokona odpowiednich zmian lub poprawek. W przypadku rozbieżności opis wymiarów ważniejszy jest od odczytów ze skali rysunków. Wszystkie wykonane roboty i dostarczone materiały będą zgodne z rysunkami i ST.  </w:t>
      </w:r>
    </w:p>
    <w:p>
      <w:pPr>
        <w:pStyle w:val="Normal"/>
        <w:ind w:hanging="8" w:start="702"/>
        <w:rPr/>
      </w:pPr>
      <w:r>
        <w:rPr/>
        <w:t xml:space="preserve">Dane określone w Dokumentacji Projektowej i w ST będą uważane za wartości docelowe, od których dopuszczalne są odchylenia w ramach określonego przedziału tolerancji.  </w:t>
      </w:r>
    </w:p>
    <w:p>
      <w:pPr>
        <w:pStyle w:val="Normal"/>
        <w:ind w:hanging="8" w:start="702"/>
        <w:rPr/>
      </w:pPr>
      <w:r>
        <w:rPr/>
        <w:t xml:space="preserve">Cechy materiałów i elementów budowli muszą być jednorodne i wykazywać bliską zgodność </w:t>
        <w:br/>
        <w:t xml:space="preserve">z określonymi wymaganiami, a rozrzuty tych cech nie mogą przekraczać dopuszczalnego przedziału tolerancji. W przypadku, gdy materiał lub roboty nie będą w pełni zgodne z Dokumentacją Projektową lub ST i wpłynie to na niezadowalającą jakość elementu budowli, to takie materiały będą niezwłocznie zastąpione innymi, a roboty rozebrane i wykonane ponownie na koszt Wykonawcy. </w:t>
      </w:r>
    </w:p>
    <w:p>
      <w:pPr>
        <w:pStyle w:val="Normal"/>
        <w:ind w:hanging="8" w:start="702"/>
        <w:rPr/>
      </w:pPr>
      <w:r>
        <w:rPr/>
      </w:r>
    </w:p>
    <w:p>
      <w:pPr>
        <w:pStyle w:val="Normal"/>
        <w:ind w:hanging="8" w:start="368"/>
        <w:rPr/>
      </w:pPr>
      <w:r>
        <w:rPr/>
        <w:t>1.8.</w:t>
      </w:r>
      <w:r>
        <w:rPr>
          <w:rFonts w:eastAsia="Arial" w:cs="Arial" w:ascii="Arial" w:hAnsi="Arial"/>
        </w:rPr>
        <w:t xml:space="preserve"> </w:t>
      </w:r>
      <w:r>
        <w:rPr/>
        <w:t xml:space="preserve">Zabezpieczenie terenu budowy. </w:t>
      </w:r>
    </w:p>
    <w:p>
      <w:pPr>
        <w:pStyle w:val="Normal"/>
        <w:ind w:hanging="8" w:start="800"/>
        <w:rPr/>
      </w:pPr>
      <w:r>
        <w:rPr/>
        <w:t xml:space="preserve">Wykonawca jest zobowiązany do zabezpieczenia terenu budowy w okresie trwania realizacji Kontraktu, aż do jego zakończenia i odbioru końcowego . Wykonawca dostarczy, zainstaluje i będzie utrzymywać tymczasowe urządzenia zabezpieczające oraz wszelkie inne środki niezbędne do ochrony robót w sposób uzgodniony z Inspektorem. Koszt zabezpieczenia terenu budowy nie podlega odrębnej zapłacie </w:t>
        <w:br/>
        <w:t xml:space="preserve">i przyjmuje się, że włączony jest w ceną kontraktową.  </w:t>
      </w:r>
    </w:p>
    <w:p>
      <w:pPr>
        <w:pStyle w:val="Normal"/>
        <w:ind w:hanging="8" w:start="800"/>
        <w:rPr/>
      </w:pPr>
      <w:r>
        <w:rPr/>
      </w:r>
    </w:p>
    <w:p>
      <w:pPr>
        <w:pStyle w:val="Normal"/>
        <w:rPr/>
      </w:pPr>
      <w:r>
        <w:rPr/>
        <w:t xml:space="preserve">    </w:t>
      </w:r>
      <w:r>
        <w:rPr/>
        <w:t xml:space="preserve">1.10. Ochrona środowiska w czasie wykonywania robót. </w:t>
      </w:r>
    </w:p>
    <w:p>
      <w:pPr>
        <w:pStyle w:val="Normal"/>
        <w:ind w:hanging="8" w:start="702"/>
        <w:rPr/>
      </w:pPr>
      <w:r>
        <w:rPr/>
        <w:t xml:space="preserve">Wykonawca ma obowiązek znać i stosować w czasie prowadzenia robót wszelkie przepisy dotyczące ochrony środowiska naturalnego. </w:t>
      </w:r>
    </w:p>
    <w:p>
      <w:pPr>
        <w:pStyle w:val="Normal"/>
        <w:ind w:hanging="8" w:start="702"/>
        <w:rPr/>
      </w:pPr>
      <w:r>
        <w:rPr/>
      </w:r>
    </w:p>
    <w:p>
      <w:pPr>
        <w:pStyle w:val="Normal"/>
        <w:rPr/>
      </w:pPr>
      <w:r>
        <w:rPr/>
        <w:t xml:space="preserve">  </w:t>
      </w:r>
      <w:r>
        <w:rPr/>
        <w:t xml:space="preserve">1.11. Ochrona przeciwpożarowa. </w:t>
      </w:r>
    </w:p>
    <w:p>
      <w:pPr>
        <w:pStyle w:val="Normal"/>
        <w:ind w:hanging="8" w:start="702"/>
        <w:rPr/>
      </w:pPr>
      <w:r>
        <w:rPr/>
        <w:t xml:space="preserve">Wykonawca będzie przestrzegać przepisów ochrony przeciwpożarowej. Wykonawca będzie utrzymywać sprawny sprzęt przeciwpożarowy, wymagany przez odpowiednie przepisy, w pomieszczeniach biurowych oraz w maszynach i pojazdach. Materiały łatwopalne będą składowane w sposób zgodny </w:t>
        <w:br/>
        <w:t xml:space="preserve">z odpowiednimi przepisami i zabezpieczone przed dostępem osób trzecich. Wykonawca będzie odpowiedzialny za wszelkie straty spowodowane pożarem wywołanym jako rezultat realizacji robót albo przez personel Wykonawcy.    </w:t>
      </w:r>
    </w:p>
    <w:p>
      <w:pPr>
        <w:pStyle w:val="Normal"/>
        <w:ind w:hanging="8" w:start="702"/>
        <w:rPr/>
      </w:pPr>
      <w:r>
        <w:rPr/>
        <w:t xml:space="preserve">        </w:t>
      </w:r>
    </w:p>
    <w:p>
      <w:pPr>
        <w:pStyle w:val="Normal"/>
        <w:rPr/>
      </w:pPr>
      <w:r>
        <w:rPr/>
        <w:t xml:space="preserve">  </w:t>
      </w:r>
      <w:r>
        <w:rPr/>
        <w:t xml:space="preserve">1.12. Materiały szkodliwe dla otoczenia. </w:t>
      </w:r>
    </w:p>
    <w:p>
      <w:pPr>
        <w:pStyle w:val="Normal"/>
        <w:ind w:hanging="8" w:start="702"/>
        <w:rPr/>
      </w:pPr>
      <w:r>
        <w:rPr/>
        <w:t xml:space="preserve">Materiały, które w sposób trwały są szkodliwe dla otoczenia, nie będą dopuszczone do użycia. </w:t>
      </w:r>
    </w:p>
    <w:p>
      <w:pPr>
        <w:pStyle w:val="Normal"/>
        <w:ind w:hanging="8" w:start="702"/>
        <w:rPr/>
      </w:pPr>
      <w:r>
        <w:rPr/>
        <w:t xml:space="preserve">Nie dopuszcza do użycia materiałów wywołujących szkodliwe promieniowanie o stężeniu większym od dopuszczalnego. Wszelkie materiały odpadowe użyte do robót będą miały świadectwa dopuszczenia, wydane przez uprawniona jednostkę, jednocześnie określające brak szkodliwego oddziaływania  tych materiałów na środowisko. Materiałów,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w:t>
      </w:r>
    </w:p>
    <w:p>
      <w:pPr>
        <w:pStyle w:val="Normal"/>
        <w:ind w:hanging="8" w:start="702"/>
        <w:rPr/>
      </w:pPr>
      <w:r>
        <w:rPr/>
      </w:r>
    </w:p>
    <w:p>
      <w:pPr>
        <w:pStyle w:val="Normal"/>
        <w:rPr/>
      </w:pPr>
      <w:r>
        <w:rPr/>
        <w:t xml:space="preserve">   </w:t>
      </w:r>
      <w:r>
        <w:rPr/>
        <w:t xml:space="preserve">1.13. Ochrona własności publicznej i prywatnej. </w:t>
      </w:r>
    </w:p>
    <w:p>
      <w:pPr>
        <w:pStyle w:val="Normal"/>
        <w:ind w:hanging="8" w:start="702"/>
        <w:rPr/>
      </w:pPr>
      <w:r>
        <w:rPr/>
        <w:t xml:space="preserve">Wykonawca zapewni właściwe oznaczenie i zabezpieczenie przed uszkodzeniem instalacji wewnętrznych w czasie trwania budowy . O fakcie przypadkowego uszkodzenia tych instalacji Wykonawca bezzwłocznie powiadomi Inspektora i zainteresowane władze oraz będzie z nimi współpracował dostarczając wszelkiej pomocy potrzebnej przy dokonywaniu napraw. </w:t>
      </w:r>
    </w:p>
    <w:p>
      <w:pPr>
        <w:pStyle w:val="Normal"/>
        <w:ind w:hanging="8" w:start="702"/>
        <w:rPr/>
      </w:pPr>
      <w:r>
        <w:rPr/>
        <w:t xml:space="preserve">Wykonawca będzie realizować roboty w sposób powodujący minimalne niedogodności dla użytkowników budynku. Wszelkie koszty uszkodzenia budynku w trakcie prowadzonych robót budowlanych ponosi Wykonawca. </w:t>
      </w:r>
    </w:p>
    <w:p>
      <w:pPr>
        <w:pStyle w:val="Normal"/>
        <w:ind w:hanging="8" w:start="702"/>
        <w:rPr/>
      </w:pPr>
      <w:r>
        <w:rPr/>
      </w:r>
    </w:p>
    <w:p>
      <w:pPr>
        <w:pStyle w:val="Normal"/>
        <w:rPr/>
      </w:pPr>
      <w:r>
        <w:rPr/>
        <w:t xml:space="preserve">  </w:t>
      </w:r>
      <w:r>
        <w:rPr/>
        <w:t xml:space="preserve">1.14. Ograniczenie obciążeń osi pojazdów. </w:t>
      </w:r>
    </w:p>
    <w:p>
      <w:pPr>
        <w:pStyle w:val="Normal"/>
        <w:ind w:hanging="8" w:start="702"/>
        <w:rPr/>
      </w:pPr>
      <w:r>
        <w:rPr/>
        <w:t xml:space="preserve">Wykonawca stosować się będzie do ustawowych ograniczeń obciążenia na oś przy transporcie materiałów i wyposażenia na i z terenu robót. </w:t>
      </w:r>
    </w:p>
    <w:p>
      <w:pPr>
        <w:pStyle w:val="Normal"/>
        <w:ind w:hanging="8" w:start="702"/>
        <w:rPr/>
      </w:pPr>
      <w:r>
        <w:rPr/>
      </w:r>
    </w:p>
    <w:p>
      <w:pPr>
        <w:pStyle w:val="Normal"/>
        <w:rPr/>
      </w:pPr>
      <w:r>
        <w:rPr/>
        <w:t xml:space="preserve">  </w:t>
      </w:r>
      <w:r>
        <w:rPr/>
        <w:t xml:space="preserve">1.15. Bezpieczeństwo i higiena pracy. </w:t>
      </w:r>
    </w:p>
    <w:p>
      <w:pPr>
        <w:pStyle w:val="Normal"/>
        <w:ind w:hanging="8" w:start="702"/>
        <w:rPr/>
      </w:pPr>
      <w:r>
        <w:rPr/>
        <w:t xml:space="preserve">Podczas realizacji robót Wykonawca będzie przestrzegać przepisów dotyczących bezpieczeństwa </w:t>
        <w:br/>
        <w:t xml:space="preserve">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zdrowia i życia osób zatrudnionych na budowie oraz dla zapewnienia bezpieczeństwa publicznego. Dla robót budowlanych stwarzających zagrożenie bezpieczeństwa i zdrowia ludzi, Kierownik budowy jest zobowiązany sporządzić lub zapewnić sporządzenie planu bezpieczeństwa i ochrony zdrowia (Plan BIOZ). Uznaje się, że wszelkie koszty związane z wypełnieniem wymagań bezpieczeństwa określonych powyżej są uwzględnione w Cenie Umowy. </w:t>
      </w:r>
    </w:p>
    <w:p>
      <w:pPr>
        <w:pStyle w:val="Normal"/>
        <w:ind w:hanging="8" w:start="702"/>
        <w:rPr/>
      </w:pPr>
      <w:r>
        <w:rPr/>
      </w:r>
    </w:p>
    <w:p>
      <w:pPr>
        <w:pStyle w:val="Normal"/>
        <w:rPr/>
      </w:pPr>
      <w:r>
        <w:rPr/>
        <w:t xml:space="preserve">   </w:t>
      </w:r>
      <w:r>
        <w:rPr/>
        <w:t xml:space="preserve">1.16. Ochrona robót. </w:t>
      </w:r>
    </w:p>
    <w:p>
      <w:pPr>
        <w:pStyle w:val="Normal"/>
        <w:ind w:hanging="8" w:start="702"/>
        <w:rPr/>
      </w:pPr>
      <w:r>
        <w:rPr/>
        <w:t xml:space="preserve">Wykonawca będzie odpowiedzialny za ochronę robót i za wszelkie materiały i urządzenia używane do robót od daty rozpoczęcia do daty wydania potwierdzenia zakończenia robót przez Inspektora oraz będzie utrzymywać roboty do czasu końcowego odbioru. Utrzymywanie powinno być prowadzone w taki sposób, aby budowla lub jej elementy były w zadowalającym stanie przez cały czas, do momentu odbioru końcowego. Inspektor może wstrzymać roboty, jeśli Wykonawca w jakimkolwiek czasie zaniedba utrzymywanie, w tym przypadku na polecenie Inspektora powinien rozpocząć utrzymywanie nie później niż w 24 godziny po otrzymaniu tego polecenia. </w:t>
      </w:r>
    </w:p>
    <w:p>
      <w:pPr>
        <w:pStyle w:val="Normal"/>
        <w:ind w:hanging="8" w:start="702"/>
        <w:rPr/>
      </w:pPr>
      <w:r>
        <w:rPr/>
      </w:r>
    </w:p>
    <w:p>
      <w:pPr>
        <w:pStyle w:val="Normal"/>
        <w:rPr/>
      </w:pPr>
      <w:r>
        <w:rPr/>
        <w:t xml:space="preserve">  </w:t>
      </w:r>
      <w:r>
        <w:rPr/>
        <w:t xml:space="preserve">1.17. Stosowanie się do prawa i innych przepisów. </w:t>
      </w:r>
    </w:p>
    <w:p>
      <w:pPr>
        <w:pStyle w:val="Normal"/>
        <w:ind w:hanging="8" w:start="702"/>
        <w:rPr/>
      </w:pPr>
      <w:r>
        <w:rPr/>
        <w:t xml:space="preserve">Wykonawca jest zobowiązany znać wszelkie przepisy wydane przez władze centralne miejscowe oraz inne przepisy i wytyczne, które są w jakikolwiek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Inspektora o swoich działaniach, przedstawiając kopie zezwoleń i inne odnośne dokumenty. </w:t>
      </w:r>
    </w:p>
    <w:p>
      <w:pPr>
        <w:pStyle w:val="Normal"/>
        <w:ind w:hanging="8" w:start="702"/>
        <w:rPr/>
      </w:pPr>
      <w:r>
        <w:rPr/>
      </w:r>
    </w:p>
    <w:p>
      <w:pPr>
        <w:pStyle w:val="Normal"/>
        <w:ind w:hanging="8" w:start="702"/>
        <w:rPr/>
      </w:pPr>
      <w:r>
        <w:rPr/>
      </w:r>
    </w:p>
    <w:p>
      <w:pPr>
        <w:pStyle w:val="Normal"/>
        <w:rPr/>
      </w:pPr>
      <w:r>
        <w:rPr/>
        <w:t xml:space="preserve">  </w:t>
      </w:r>
      <w:r>
        <w:rPr/>
        <w:t xml:space="preserve">1.18. Równoważność norm i przepisów prawnych. </w:t>
      </w:r>
    </w:p>
    <w:p>
      <w:pPr>
        <w:pStyle w:val="Normal"/>
        <w:ind w:hanging="8" w:start="702"/>
        <w:rPr/>
      </w:pPr>
      <w:r>
        <w:rPr/>
        <w:t xml:space="preserve">Gdziekolwiek w dokumentach kontraktowych powołane są konkretne normy i przepisy , które spełniać mają materiały, sprzęt i inne towary oraz wykonywane i zbadane roboty, będą obowiązywać postanowienia najnowszego wydania lub poprawionego wydania powołanych norm i przepisów o ile </w:t>
        <w:br/>
        <w:t xml:space="preserve">w warunkach kontraktu nie postanowiono inaczej. </w:t>
      </w:r>
    </w:p>
    <w:p>
      <w:pPr>
        <w:pStyle w:val="Normal"/>
        <w:ind w:hanging="8" w:start="702"/>
        <w:rPr/>
      </w:pPr>
      <w:r>
        <w:rPr/>
      </w:r>
    </w:p>
    <w:p>
      <w:pPr>
        <w:pStyle w:val="Normal"/>
        <w:rPr/>
      </w:pPr>
      <w:r>
        <w:rPr/>
        <w:t xml:space="preserve">  </w:t>
      </w:r>
      <w:r>
        <w:rPr/>
        <w:t xml:space="preserve">1.19. Czasowe zajęcie terenu poza liniami rozgraniczającymi. </w:t>
      </w:r>
    </w:p>
    <w:p>
      <w:pPr>
        <w:pStyle w:val="Normal"/>
        <w:ind w:hanging="8" w:start="702"/>
        <w:rPr/>
      </w:pPr>
      <w:r>
        <w:rPr/>
        <w:t>Wykonawca jest zobowiązany do poniesienia kosztów czasowego zajęcia terenu dla celów wykonania robót wraz z kosztami prawnymi i opłatami za zajmowanie terenu, dokonaniem niezbędnych uzgodnień z właścicielami terenu oraz do przywrócenia go do stanu pierwotnego.</w:t>
      </w:r>
    </w:p>
    <w:p>
      <w:pPr>
        <w:pStyle w:val="Normal"/>
        <w:ind w:hanging="8" w:start="702"/>
        <w:rPr/>
      </w:pPr>
      <w:r>
        <w:rPr/>
      </w:r>
    </w:p>
    <w:p>
      <w:pPr>
        <w:pStyle w:val="Normal"/>
        <w:numPr>
          <w:ilvl w:val="0"/>
          <w:numId w:val="2"/>
        </w:numPr>
        <w:ind w:hanging="201" w:start="201"/>
        <w:rPr/>
      </w:pPr>
      <w:r>
        <w:rPr/>
        <w:t xml:space="preserve">Materiały. </w:t>
      </w:r>
    </w:p>
    <w:p>
      <w:pPr>
        <w:pStyle w:val="Normal"/>
        <w:ind w:hanging="8" w:start="702"/>
        <w:rPr/>
      </w:pPr>
      <w:r>
        <w:rPr/>
        <w:t xml:space="preserve">Wszystkie zastosowane materiały muszą być zgodne z wymogami Ustawy o wyrobach  budowlanych, wg której materiały nadaje się do stosowania przy wykonywaniu robót budowlanych, jeżeli jest oznakowany znakiem CE albo umieszczony jest przez Komisję Europejską w wykazie wyrobów mających niewielkie znaczenie dla zdrowia i Bezpieczeństwa, dla których producent wydał deklarację zgodności z uznanymi regułami sztuki budowlanej albo jest oznakowany znakiem budowlanym (B). Oznakowanie wyrobu budowlanego znakiem budowlanym jest dopuszczalne, jeżeli producent, mający siedzibę na terytorium Rzeczypospolitej Polskiej, dokonał oceny zgodności i wydał, na swoją wyłączną odpowiedzialność, krajową deklarację zgodności z Polską Normą wyrobu budowlanego albo aprobatą techniczną. Ocena zgodności obejmuje własności użytkowe wyrobu budowlanego, odpowiednio do jego przeznaczenia, mające wpływ na spełnienie przez obiekt budowlany wymagań podstawowych. </w:t>
      </w:r>
    </w:p>
    <w:p>
      <w:pPr>
        <w:pStyle w:val="Normal"/>
        <w:ind w:hanging="8" w:start="702"/>
        <w:rPr/>
      </w:pPr>
      <w:r>
        <w:rPr/>
      </w:r>
    </w:p>
    <w:p>
      <w:pPr>
        <w:pStyle w:val="Normal"/>
        <w:numPr>
          <w:ilvl w:val="1"/>
          <w:numId w:val="2"/>
        </w:numPr>
        <w:ind w:hanging="351" w:start="351"/>
        <w:rPr/>
      </w:pPr>
      <w:r>
        <w:rPr/>
        <w:t xml:space="preserve">Źródła uzyskania materiałów. </w:t>
      </w:r>
    </w:p>
    <w:p>
      <w:pPr>
        <w:pStyle w:val="Normal"/>
        <w:ind w:hanging="8" w:start="702"/>
        <w:rPr/>
      </w:pPr>
      <w:r>
        <w:rPr/>
        <w:t xml:space="preserve">Co najmniej na dwa tygodnie przed planowanym wykorzystaniem jakichkolwiek materiałów przeznaczonych do robót Wykonawca przedstawi Inspektorowi szczegółowe informacje dotyczące proponowanego źródła wytwarzania, zamawiania lub wydobywania tych materiałów i odpowiednie certyfikaty lub deklaracji zgodności oraz  próbki do zatwierdzenia przez Inspektora. </w:t>
      </w:r>
    </w:p>
    <w:p>
      <w:pPr>
        <w:pStyle w:val="Normal"/>
        <w:ind w:hanging="8" w:start="702"/>
        <w:rPr/>
      </w:pPr>
      <w:r>
        <w:rPr/>
        <w:t xml:space="preserve">Zatwierdzenie przez Inspektora pewnych materiałów z danego źródła nie oznacza automatycznie, że wszelkie materiały z danego źródła uzyskają zatwierdzenie. Wykonawca zobowiązany jest do prowadzenia badań materiałów w celu udokumentowania, że materiały uzyskane z dopuszczonego źródła w sposób ciągły spełniają wymagania Specyfikacji Technicznych w czasie postępu robót. </w:t>
      </w:r>
    </w:p>
    <w:p>
      <w:pPr>
        <w:pStyle w:val="Normal"/>
        <w:ind w:hanging="8" w:start="702"/>
        <w:rPr/>
      </w:pPr>
      <w:r>
        <w:rPr/>
      </w:r>
    </w:p>
    <w:p>
      <w:pPr>
        <w:pStyle w:val="Normal"/>
        <w:numPr>
          <w:ilvl w:val="1"/>
          <w:numId w:val="2"/>
        </w:numPr>
        <w:ind w:hanging="351" w:start="351"/>
        <w:rPr/>
      </w:pPr>
      <w:r>
        <w:rPr/>
        <w:t xml:space="preserve">Materiały nie odpowiadające wymaganiom Specyfikacji Technicznych. </w:t>
      </w:r>
    </w:p>
    <w:p>
      <w:pPr>
        <w:pStyle w:val="Normal"/>
        <w:ind w:hanging="8" w:start="702"/>
        <w:rPr/>
      </w:pPr>
      <w:r>
        <w:rPr/>
        <w:t xml:space="preserve">Materiały nie odpowiadające wymaganiom Specyfikacji Technicznych zostaną przez Wykonawcę wywiezione z terenu budowy, bądź złożone w miejscu wskazanym przez Inspektora. Jeżeli Inspektor zezwoli Wykonawcy na użycie tych materiałów do innych robót, niż te do których zostały zakupione, to koszt tych materiałów zostanie przewartościowany (skorygowany) przez Inspektora. Każdy rodzaj robót, w którym znajdują się niezbadane i nie zaakceptowane materiały, Wykonawca wykonuje na własne ryzyko, licząc się z jego nie przyjęciem i niezapłaceniem. </w:t>
      </w:r>
    </w:p>
    <w:p>
      <w:pPr>
        <w:pStyle w:val="Normal"/>
        <w:ind w:hanging="8" w:start="702"/>
        <w:rPr/>
      </w:pPr>
      <w:r>
        <w:rPr/>
      </w:r>
    </w:p>
    <w:p>
      <w:pPr>
        <w:pStyle w:val="Normal"/>
        <w:numPr>
          <w:ilvl w:val="1"/>
          <w:numId w:val="2"/>
        </w:numPr>
        <w:ind w:hanging="351" w:start="351"/>
        <w:rPr/>
      </w:pPr>
      <w:r>
        <w:rPr/>
        <w:t xml:space="preserve">Przechowywanie i składowanie materiałów. </w:t>
      </w:r>
    </w:p>
    <w:p>
      <w:pPr>
        <w:pStyle w:val="Normal"/>
        <w:ind w:hanging="8" w:start="702"/>
        <w:rPr/>
      </w:pPr>
      <w:r>
        <w:rPr/>
        <w:t xml:space="preserve">Wykonawca zapewni, aby tymczasowo składowane materiały, do czasu, gdy będą one potrzebne do robót, były zabezpieczone przez zanieczyszczeniem, zachowały swoją jakość i właściwość do robót i były dostępne do kontroli przez Inspektora .Miejsca czasowego składowanie będą zlokalizowane w obrębie terenu budowy w miejscach uzgodnionych z Inspektorem lub poza terenem budowy w miejscach zorganizowanych przez Wykonawcę. </w:t>
      </w:r>
    </w:p>
    <w:p>
      <w:pPr>
        <w:pStyle w:val="Normal"/>
        <w:ind w:hanging="8" w:start="702"/>
        <w:rPr/>
      </w:pPr>
      <w:r>
        <w:rPr/>
      </w:r>
    </w:p>
    <w:p>
      <w:pPr>
        <w:pStyle w:val="Normal"/>
        <w:ind w:hanging="8" w:start="702"/>
        <w:rPr/>
      </w:pPr>
      <w:r>
        <w:rPr/>
      </w:r>
    </w:p>
    <w:p>
      <w:pPr>
        <w:pStyle w:val="Normal"/>
        <w:ind w:hanging="8" w:start="702"/>
        <w:rPr/>
      </w:pPr>
      <w:r>
        <w:rPr/>
      </w:r>
    </w:p>
    <w:p>
      <w:pPr>
        <w:pStyle w:val="Normal"/>
        <w:numPr>
          <w:ilvl w:val="1"/>
          <w:numId w:val="2"/>
        </w:numPr>
        <w:ind w:hanging="351" w:start="351"/>
        <w:rPr/>
      </w:pPr>
      <w:r>
        <w:rPr/>
        <w:t xml:space="preserve">Wariantowe stosowanie materiałów. </w:t>
      </w:r>
    </w:p>
    <w:p>
      <w:pPr>
        <w:pStyle w:val="Normal"/>
        <w:ind w:hanging="8" w:start="702"/>
        <w:rPr/>
      </w:pPr>
      <w:r>
        <w:rPr/>
        <w:t xml:space="preserve">Jeśli Dokumentacja Projektowa lub ST przewidują możliwość wariantowego zastosowania rodzaju materiału w wykonywanych robotach, Wykonawca powiadomi Inspektora o swoim zamiarze, co najmniej 2 tygodnie przed użyciem materiału, albo w okresie dłuższym, jeśli będzie to wymagane dla badań prowadzonych przez Inspektora. Wybrany i zaakceptowany rodzaj materiału nie może być zmieniany bez zgody Inspektora. </w:t>
      </w:r>
    </w:p>
    <w:p>
      <w:pPr>
        <w:pStyle w:val="Normal"/>
        <w:ind w:hanging="8" w:start="702"/>
        <w:rPr/>
      </w:pPr>
      <w:r>
        <w:rPr/>
      </w:r>
    </w:p>
    <w:p>
      <w:pPr>
        <w:pStyle w:val="Normal"/>
        <w:numPr>
          <w:ilvl w:val="0"/>
          <w:numId w:val="2"/>
        </w:numPr>
        <w:ind w:hanging="201" w:start="201"/>
        <w:rPr/>
      </w:pPr>
      <w:r>
        <w:rPr/>
        <w:t xml:space="preserve">Sprzęt. </w:t>
      </w:r>
    </w:p>
    <w:p>
      <w:pPr>
        <w:pStyle w:val="Normal"/>
        <w:ind w:hanging="8" w:start="702"/>
        <w:rPr/>
      </w:pPr>
      <w:r>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lub </w:t>
        <w:br/>
        <w:t xml:space="preserve">w projekcie organizacji robót, zaakceptowanym przez Inspektora. Sprzęt będący własnością Wykonawcy lub wynajęty do wykonania robót ma być utrzymywany w dobrym stanie i gotowości do pracy. Będzie on zgodny z normami ochrony środowiska i przepisami dotyczącymi jego użytkowania. </w:t>
      </w:r>
    </w:p>
    <w:p>
      <w:pPr>
        <w:pStyle w:val="Normal"/>
        <w:ind w:hanging="8" w:start="702"/>
        <w:rPr/>
      </w:pPr>
      <w:r>
        <w:rPr/>
      </w:r>
    </w:p>
    <w:p>
      <w:pPr>
        <w:pStyle w:val="Normal"/>
        <w:numPr>
          <w:ilvl w:val="0"/>
          <w:numId w:val="2"/>
        </w:numPr>
        <w:ind w:hanging="201" w:start="201"/>
        <w:rPr/>
      </w:pPr>
      <w:r>
        <w:rPr/>
        <w:t xml:space="preserve">Transport. </w:t>
      </w:r>
    </w:p>
    <w:p>
      <w:pPr>
        <w:pStyle w:val="Normal"/>
        <w:ind w:hanging="8" w:start="702"/>
        <w:rPr/>
      </w:pPr>
      <w:r>
        <w:rPr/>
        <w:t xml:space="preserve">Wykonawca jest zobowiązany do stosowania jedynie takich środków transportu, które nie wpłyną niekorzystnie na jakość wykonywanych robót i właściwości przewożonych materiałów. </w:t>
      </w:r>
    </w:p>
    <w:p>
      <w:pPr>
        <w:pStyle w:val="Normal"/>
        <w:ind w:hanging="8" w:start="702"/>
        <w:rPr/>
      </w:pPr>
      <w:r>
        <w:rPr/>
        <w:t xml:space="preserve">Liczba środków transportu będzie zapewniać prowadzenie robót zgodnie z zasadami określonymi </w:t>
        <w:br/>
        <w:t xml:space="preserve">w dokumentacji projektowe, ST i wskazaniach Inspektora, w terminie przewidzianym umową. Przy ruchu na drogach publicznych pojazdy będą spełniać wymagania dotyczące przepisów ruchu drogowego </w:t>
        <w:br/>
        <w:t xml:space="preserve">w odniesieniu do dopuszczalnych obciążeń na osie i innych parametrów technicznych.  </w:t>
      </w:r>
    </w:p>
    <w:p>
      <w:pPr>
        <w:pStyle w:val="Normal"/>
        <w:ind w:hanging="8" w:start="702"/>
        <w:rPr/>
      </w:pPr>
      <w:r>
        <w:rPr/>
      </w:r>
    </w:p>
    <w:p>
      <w:pPr>
        <w:pStyle w:val="Normal"/>
        <w:numPr>
          <w:ilvl w:val="0"/>
          <w:numId w:val="2"/>
        </w:numPr>
        <w:ind w:hanging="201" w:start="201"/>
        <w:rPr/>
      </w:pPr>
      <w:r>
        <w:rPr/>
        <w:t xml:space="preserve">Wykonanie robót. </w:t>
      </w:r>
    </w:p>
    <w:p>
      <w:pPr>
        <w:pStyle w:val="Normal"/>
        <w:ind w:hanging="8" w:start="702"/>
        <w:rPr/>
      </w:pPr>
      <w:r>
        <w:rPr/>
        <w:t xml:space="preserve">Wykonawca jest odpowiedzialny za prowadzenie robót zgodnie z warunkami Umowy, za jakość stosowanych materiałów i wykonywanych robót, za ich zgodność z Dokumentacja Projektową, wymaganiami ST, projektem organizacji robót oraz poleceniami Inspektora. Wykonawca jest odpowiedzialny za stosowane metody wykonywania robót. Decyzje Inspektora dotyczące akceptacji lub odrzucenia materiałów i elementów robót będą oparte na wymaganiach sformułowanych w Umowie, Dokumentacji Projektowej, ST, normach i wytycznych. Przy podejmowaniu decyzji Inspektor uwzględni wyniki badań materiałów i robót, rozrzuty normalnie występujące przy produkcji i przy badaniach materiałów, doświadczenia z przeszłości, wyniki badań naukowych oraz inne czynniki wpływające na rozważną decyzje. Polecenia Inspektora będą wykonywane nie później niż w czasie przez niego wyznaczonym po ich otrzymaniu przez Wykonawcę, pod groźbą zatrzymania robót. </w:t>
      </w:r>
    </w:p>
    <w:p>
      <w:pPr>
        <w:pStyle w:val="Normal"/>
        <w:ind w:hanging="8" w:start="702"/>
        <w:rPr/>
      </w:pPr>
      <w:r>
        <w:rPr/>
        <w:t xml:space="preserve">Wszelkie dodatkowe koszty z tego tytułu ponosi Wykonawca. </w:t>
      </w:r>
    </w:p>
    <w:p>
      <w:pPr>
        <w:pStyle w:val="Normal"/>
        <w:ind w:hanging="8" w:start="702"/>
        <w:rPr/>
      </w:pPr>
      <w:r>
        <w:rPr/>
      </w:r>
    </w:p>
    <w:p>
      <w:pPr>
        <w:pStyle w:val="Normal"/>
        <w:numPr>
          <w:ilvl w:val="0"/>
          <w:numId w:val="2"/>
        </w:numPr>
        <w:ind w:hanging="201" w:start="201"/>
        <w:rPr/>
      </w:pPr>
      <w:r>
        <w:rPr/>
        <w:t xml:space="preserve">Kontrola jakości robót. </w:t>
      </w:r>
    </w:p>
    <w:p>
      <w:pPr>
        <w:pStyle w:val="Normal"/>
        <w:ind w:hanging="8" w:start="702"/>
        <w:rPr/>
      </w:pPr>
      <w:r>
        <w:rPr/>
        <w:t xml:space="preserve">Celem kontroli robót będzie takie sterowanie ich przygotowaniem i wykonaniem, aby osiągnąć założoną jakość. Wykonawca jest odpowiedzialny za pełna kontrolę robót i jakości materiałów. Wykonawca zapewni odpowiedni system kontroli. Wykonawca będzie przeprowadzać pomiary i badania materiałów oraz robót z częstotliwością zapewniającą stwierdzenie, że roboty wykonano zgodnie z wymaganiami zawartymi w dokumentacji projektowej i ST. </w:t>
      </w:r>
    </w:p>
    <w:p>
      <w:pPr>
        <w:pStyle w:val="Normal"/>
        <w:ind w:hanging="8" w:start="702"/>
        <w:rPr/>
      </w:pPr>
      <w:r>
        <w:rPr/>
        <w:t xml:space="preserve">Minimalne wymagania, co do zakresu badań i ich częstotliwość są określone w ST, normach </w:t>
        <w:br/>
        <w:t xml:space="preserve">i wytycznych. W przypadku, gdy nie zostały one tam określone, Inspektor ustali jaki zakres kontroli jest konieczny, aby zapewnić wykonanie robót zgodnie z umową. Wykonawca dostarczy Inspektorowi świadectwa, że wszystkie stosowane urządzenia i sprzęt badawczy posiadają legalizację, zostały prawidłowo wykalibrowane i odpowiadają wymaganiom norm określających procedury badań. </w:t>
      </w:r>
    </w:p>
    <w:p>
      <w:pPr>
        <w:pStyle w:val="Normal"/>
        <w:ind w:hanging="8" w:start="702"/>
        <w:rPr/>
      </w:pPr>
      <w:r>
        <w:rPr/>
        <w:t xml:space="preserve">Wszystkie koszty związane z organizowaniem i prowadzeniem badań materiałów ponosi Wykonawca. </w:t>
      </w:r>
    </w:p>
    <w:p>
      <w:pPr>
        <w:pStyle w:val="Normal"/>
        <w:tabs>
          <w:tab w:val="clear" w:pos="708"/>
          <w:tab w:val="center" w:pos="3934" w:leader="none"/>
        </w:tabs>
        <w:ind w:hanging="0" w:start="0"/>
        <w:jc w:val="start"/>
        <w:rPr/>
      </w:pPr>
      <w:r>
        <w:rPr/>
        <w:t xml:space="preserve"> </w:t>
      </w:r>
      <w:r>
        <w:rPr/>
        <w:tab/>
        <w:t xml:space="preserve">Kierownik budowy może dopuścić do użycia tylko te materiały, które posiadają: </w:t>
      </w:r>
    </w:p>
    <w:p>
      <w:pPr>
        <w:pStyle w:val="Normal"/>
        <w:numPr>
          <w:ilvl w:val="0"/>
          <w:numId w:val="3"/>
        </w:numPr>
        <w:ind w:hanging="360" w:start="1054"/>
        <w:rPr/>
      </w:pPr>
      <w:r>
        <w:rPr/>
        <w:t xml:space="preserve">Certyfikat na znak bezpieczeństwa wykazujący, że zapewniono zgodność z kryteriami technicznymi określonymi na podstawie Polskich Norm, aprobat technicznych oraz właściwych przepisów </w:t>
        <w:br/>
        <w:t xml:space="preserve">i dokumentów technicznych. </w:t>
      </w:r>
    </w:p>
    <w:p>
      <w:pPr>
        <w:pStyle w:val="Normal"/>
        <w:numPr>
          <w:ilvl w:val="0"/>
          <w:numId w:val="3"/>
        </w:numPr>
        <w:ind w:hanging="360" w:start="1054"/>
        <w:rPr/>
      </w:pPr>
      <w:r>
        <w:rPr/>
        <w:t xml:space="preserve">Deklarację zgodności lub certyfikat zgodności z: </w:t>
      </w:r>
    </w:p>
    <w:p>
      <w:pPr>
        <w:pStyle w:val="Normal"/>
        <w:numPr>
          <w:ilvl w:val="0"/>
          <w:numId w:val="4"/>
        </w:numPr>
        <w:ind w:firstLine="84" w:start="8"/>
        <w:rPr/>
      </w:pPr>
      <w:r>
        <w:rPr/>
        <w:t xml:space="preserve">Polską Normą, </w:t>
      </w:r>
    </w:p>
    <w:p>
      <w:pPr>
        <w:pStyle w:val="Normal"/>
        <w:numPr>
          <w:ilvl w:val="0"/>
          <w:numId w:val="4"/>
        </w:numPr>
        <w:ind w:firstLine="84" w:start="8"/>
        <w:rPr/>
      </w:pPr>
      <w:r>
        <w:rPr/>
        <w:t xml:space="preserve">lub aprobata techniczną w przypadku wyrobów, dla których nie ustanowiono Polskiej Normy, jeżeli nie są objęte certyfikacją określoną w pkt „a” i które spełniają wymogi Specyfikacji. W przypadku materiałów, dla których w/w dokumenty są wymagane przez ST, każda partia dostarczona do robót będzie posiadać te dokumenty, określające w sposób jednoznaczny jej cechy. Produkty przemysłowe muszą posiadać w/w dokumenty wydane przez producenta. Jakiekolwiek materiały, które nie spełniają tych wymagań będą odrzucone.  </w:t>
      </w:r>
    </w:p>
    <w:p>
      <w:pPr>
        <w:pStyle w:val="Normal"/>
        <w:ind w:hanging="8" w:start="702"/>
        <w:rPr/>
      </w:pPr>
      <w:r>
        <w:rPr/>
        <w:t xml:space="preserve">Do dokumentów budowy, oprócz wymienionych w pkt 6a i 6b zalicza się następujące dokumenty: </w:t>
      </w:r>
    </w:p>
    <w:p>
      <w:pPr>
        <w:pStyle w:val="Normal"/>
        <w:ind w:hanging="8" w:start="702"/>
        <w:rPr/>
      </w:pPr>
      <w:r>
        <w:rPr/>
        <w:t>a)</w:t>
      </w:r>
      <w:r>
        <w:rPr>
          <w:rFonts w:eastAsia="Arial" w:cs="Arial" w:ascii="Arial" w:hAnsi="Arial"/>
        </w:rPr>
        <w:t xml:space="preserve"> </w:t>
      </w:r>
      <w:r>
        <w:rPr/>
        <w:t xml:space="preserve">protokoły przekazania Wykonawcy placu budowy, </w:t>
      </w:r>
    </w:p>
    <w:p>
      <w:pPr>
        <w:pStyle w:val="Normal"/>
        <w:numPr>
          <w:ilvl w:val="0"/>
          <w:numId w:val="5"/>
        </w:numPr>
        <w:ind w:hanging="360" w:start="1054"/>
        <w:rPr/>
      </w:pPr>
      <w:r>
        <w:rPr/>
        <w:t xml:space="preserve">umowy cywilno – prawne z osobami trzecimi, </w:t>
      </w:r>
    </w:p>
    <w:p>
      <w:pPr>
        <w:pStyle w:val="Normal"/>
        <w:numPr>
          <w:ilvl w:val="0"/>
          <w:numId w:val="5"/>
        </w:numPr>
        <w:ind w:hanging="360" w:start="1054"/>
        <w:rPr/>
      </w:pPr>
      <w:r>
        <w:rPr/>
        <w:t xml:space="preserve">protokoły odbioru robót, </w:t>
      </w:r>
    </w:p>
    <w:p>
      <w:pPr>
        <w:pStyle w:val="Normal"/>
        <w:numPr>
          <w:ilvl w:val="0"/>
          <w:numId w:val="5"/>
        </w:numPr>
        <w:ind w:hanging="360" w:start="1054"/>
        <w:rPr/>
      </w:pPr>
      <w:r>
        <w:rPr/>
        <w:t xml:space="preserve">protokoły z narad i polecenia Inspektora, </w:t>
      </w:r>
    </w:p>
    <w:p>
      <w:pPr>
        <w:pStyle w:val="Normal"/>
        <w:numPr>
          <w:ilvl w:val="0"/>
          <w:numId w:val="5"/>
        </w:numPr>
        <w:ind w:hanging="360" w:start="1054"/>
        <w:rPr/>
      </w:pPr>
      <w:r>
        <w:rPr/>
        <w:t xml:space="preserve">korespondencje na budowie. </w:t>
      </w:r>
    </w:p>
    <w:p>
      <w:pPr>
        <w:pStyle w:val="Normal"/>
        <w:ind w:hanging="8" w:start="702"/>
        <w:rPr/>
      </w:pPr>
      <w:r>
        <w:rPr/>
        <w:t xml:space="preserve">Dokumenty budowy będą przechowywane na placu budowy w miejscu odpowiednia zabezpieczonym. Zaginięcie któregokolwiek z dokumentów budowy spowoduje jego natychmiastowe odtworzenie </w:t>
        <w:br/>
        <w:t xml:space="preserve">w formie przewidzianej prawem. Wszelkie dokumenty budowy będą zawsze dostępne dla Inspektora </w:t>
        <w:br/>
        <w:t xml:space="preserve">i przedstawiane do wglądu na życzenie Zamawiającego. </w:t>
      </w:r>
    </w:p>
    <w:p>
      <w:pPr>
        <w:pStyle w:val="Normal"/>
        <w:ind w:hanging="8" w:start="702"/>
        <w:rPr/>
      </w:pPr>
      <w:r>
        <w:rPr/>
      </w:r>
    </w:p>
    <w:p>
      <w:pPr>
        <w:pStyle w:val="Normal"/>
        <w:rPr/>
      </w:pPr>
      <w:r>
        <w:rPr/>
        <w:t xml:space="preserve">7. Odbiór robót </w:t>
      </w:r>
    </w:p>
    <w:p>
      <w:pPr>
        <w:pStyle w:val="Normal"/>
        <w:ind w:hanging="8" w:start="702"/>
        <w:rPr/>
      </w:pPr>
      <w:r>
        <w:rPr/>
        <w:t xml:space="preserve">W zależności od ustaleń odpowiednich ST, roboty podlegają następującym etapom odbioru, dokonywanym przez Inspektora przy udziale Wykonawcy: </w:t>
      </w:r>
    </w:p>
    <w:p>
      <w:pPr>
        <w:pStyle w:val="Normal"/>
        <w:ind w:hanging="8" w:start="702"/>
        <w:rPr/>
      </w:pPr>
      <w:r>
        <w:rPr>
          <w:u w:val="single"/>
        </w:rPr>
        <w:t>Odbiór robót zanikających lub ulegających zakryciu</w:t>
      </w:r>
      <w:r>
        <w:rPr/>
        <w:t xml:space="preserve"> – polega na finalnej ocenie ilości i jakości wykonywanych robót, które w dalszym procesie realizacji ulegną zakryciu. Odbiór robót takich prac będzie dokonany w czasie umożliwiającym wykonanie ewentualnych korekt i poprawek bez hamowania ogólnego postępu robót. Odbioru dokonuje Inspektor. Gotowość danej części robót do odbioru zgłasza Wykonawca </w:t>
      </w:r>
      <w:r>
        <w:rPr/>
        <w:t xml:space="preserve">zgodnie z </w:t>
      </w:r>
      <w:r>
        <w:rPr/>
        <w:t>zawartą U</w:t>
      </w:r>
      <w:r>
        <w:rPr/>
        <w:t>mową</w:t>
      </w:r>
      <w:r>
        <w:rPr/>
        <w:t xml:space="preserve"> z jednoczesnym powiadomieniem Inspektora. Odbiór powinien być wykonany nie później niż </w:t>
      </w:r>
      <w:r>
        <w:rPr/>
        <w:t>3</w:t>
      </w:r>
      <w:r>
        <w:rPr/>
        <w:t xml:space="preserve"> dni od daty powiadomienia Inspektora o gotowości do odbioru. Decyzję odbioru, ocenę jakości oraz zgodę na kontynuowanie robót Inspektor dokumentuje </w:t>
      </w:r>
      <w:r>
        <w:rPr/>
        <w:t>po spisaniu protokołu częściowego odbioru robót.</w:t>
      </w:r>
    </w:p>
    <w:p>
      <w:pPr>
        <w:pStyle w:val="Normal"/>
        <w:ind w:hanging="8" w:start="702"/>
        <w:rPr>
          <w:u w:val="single"/>
        </w:rPr>
      </w:pPr>
      <w:r>
        <w:rPr>
          <w:u w:val="single"/>
        </w:rPr>
      </w:r>
    </w:p>
    <w:p>
      <w:pPr>
        <w:pStyle w:val="Normal"/>
        <w:ind w:hanging="8" w:start="702"/>
        <w:rPr/>
      </w:pPr>
      <w:r>
        <w:rPr>
          <w:u w:val="single"/>
        </w:rPr>
        <w:t>Odbiór częściowy</w:t>
      </w:r>
      <w:r>
        <w:rPr/>
        <w:t xml:space="preserve"> – polega na ocenie ilości i jakości wykonywanych części robót, który może być wcześniej oddany do eksploatacji. Odbioru częściowego robót dokonuje się wg zasad jak przy odbiorze końcowym robót. </w:t>
      </w:r>
    </w:p>
    <w:p>
      <w:pPr>
        <w:pStyle w:val="Normal"/>
        <w:ind w:hanging="8" w:start="702"/>
        <w:rPr>
          <w:u w:val="single"/>
        </w:rPr>
      </w:pPr>
      <w:r>
        <w:rPr>
          <w:u w:val="single"/>
        </w:rPr>
      </w:r>
    </w:p>
    <w:p>
      <w:pPr>
        <w:pStyle w:val="Normal"/>
        <w:ind w:hanging="8" w:start="702"/>
        <w:rPr/>
      </w:pPr>
      <w:r>
        <w:rPr>
          <w:u w:val="single"/>
        </w:rPr>
        <w:t>Odbiór końcowy robót</w:t>
      </w:r>
      <w:r>
        <w:rPr/>
        <w:t xml:space="preserve"> – polega na finalnej ocenie rzeczywistego zużycia materiałów i robocizny robót w odniesieniu do ich ilości, jakości i kosztów. Całkowite zakończenie robót oraz gotowość do odbioru końcowego będzie stwierdzona przez Wykonawcę  z bezzwłocznym powiadomieniem na piśmie o tym fakcie Inspektora. Odbiór końcowy nastąpi w terminie ustalonym </w:t>
        <w:br/>
        <w:t xml:space="preserve">w dokumentach Umowy, licząc od dnia potwierdzenia przez Inspektora zakończenia robót i przyjęcia dokumentów, o których mowa poniżej. </w:t>
      </w:r>
    </w:p>
    <w:p>
      <w:pPr>
        <w:pStyle w:val="Normal"/>
        <w:ind w:hanging="8" w:start="702"/>
        <w:rPr/>
      </w:pPr>
      <w:r>
        <w:rPr/>
        <w:t>Odbioru końcowego robót dokona komisja wyznaczona przez Zamawiającego w obecności Inspektora</w:t>
        <w:br/>
        <w:t xml:space="preserve">i Wykonawcy. Komisja odbierająca roboty wskazana przez Zamawiającego dokona ich oceny jakościowej na podstawie przedłożonych dokumentów, wyników badań i pomiarów, ocenie wizualnej oraz zgodności wykonania robót z Dokumentacją Projektową i ST. W przypadku niewykonania wyznaczonych robót poprawkowych lub robót uzupełniających lub robót wykończeniowych, komisja przerwie swoje czynności i ustali nowy termin odbioru końcowego. Wyznaczenie nowego terminu odbioru końcowego nie powoduje zmiany warunków umowy, a w szczególności nie zwalnia Wykonawcy z obowiązku zapłacenia kar umownych. </w:t>
      </w:r>
    </w:p>
    <w:p>
      <w:pPr>
        <w:pStyle w:val="Normal"/>
        <w:ind w:hanging="8" w:start="702"/>
        <w:rPr/>
      </w:pPr>
      <w:r>
        <w:rPr/>
      </w:r>
    </w:p>
    <w:p>
      <w:pPr>
        <w:pStyle w:val="Normal"/>
        <w:ind w:hanging="8" w:start="702"/>
        <w:rPr/>
      </w:pPr>
      <w:r>
        <w:rPr/>
        <w:t xml:space="preserve">Dokumenty do odbioru końcowego: </w:t>
      </w:r>
    </w:p>
    <w:p>
      <w:pPr>
        <w:pStyle w:val="Normal"/>
        <w:ind w:hanging="8" w:start="702"/>
        <w:rPr/>
      </w:pPr>
      <w:r>
        <w:rPr/>
        <w:t xml:space="preserve">Podstawowym dokumentem do dokonania odbioru końcowego robót jest protokół odbioru końcowego sporządzony wg wzoru ustalonego przez Zamawiającego.  </w:t>
      </w:r>
    </w:p>
    <w:p>
      <w:pPr>
        <w:pStyle w:val="Normal"/>
        <w:ind w:hanging="8" w:start="702" w:end="726"/>
        <w:rPr/>
      </w:pPr>
      <w:r>
        <w:rPr/>
        <w:t xml:space="preserve">Do odbioru końcowego Wykonawca jest zobowiązany przygotować następujące dokumenty: </w:t>
      </w:r>
    </w:p>
    <w:p>
      <w:pPr>
        <w:pStyle w:val="Normal"/>
        <w:ind w:hanging="8" w:start="702" w:end="726"/>
        <w:rPr/>
      </w:pPr>
      <w:r>
        <w:rPr/>
        <w:t>a)</w:t>
      </w:r>
      <w:r>
        <w:rPr>
          <w:rFonts w:eastAsia="Arial" w:cs="Arial" w:ascii="Arial" w:hAnsi="Arial"/>
        </w:rPr>
        <w:t xml:space="preserve"> </w:t>
      </w:r>
      <w:r>
        <w:rPr/>
        <w:t xml:space="preserve">Specyfikacje Techniczne zamontowanych urządzeń i instalacji, </w:t>
      </w:r>
    </w:p>
    <w:p>
      <w:pPr>
        <w:pStyle w:val="Normal"/>
        <w:ind w:hanging="8" w:start="702"/>
        <w:rPr/>
      </w:pPr>
      <w:r>
        <w:rPr/>
        <w:t>b)</w:t>
      </w:r>
      <w:r>
        <w:rPr>
          <w:rFonts w:eastAsia="Arial" w:cs="Arial" w:ascii="Arial" w:hAnsi="Arial"/>
        </w:rPr>
        <w:t xml:space="preserve"> </w:t>
      </w:r>
      <w:r>
        <w:rPr/>
        <w:t xml:space="preserve">Deklaracje zgodności lub certyfikaty zgodności wbudowanych materiałów, zgodnie z ST. </w:t>
        <w:br/>
        <w:t xml:space="preserve">W przypadku, gdy roboty pod względem wyżej wymienionego przygotowania dokumentacyjnego nie będą gotowe do odbioru końcowego, komisja w porozumieniu z Wykonawcą wyznaczy ponowny termin odbioru końcowego robót. </w:t>
      </w:r>
    </w:p>
    <w:p>
      <w:pPr>
        <w:pStyle w:val="Normal"/>
        <w:ind w:hanging="8" w:start="702"/>
        <w:rPr/>
      </w:pPr>
      <w:r>
        <w:rPr/>
        <w:t xml:space="preserve">Wszystkie zarządzone przez komisję roboty poprawkowe lub uzupełniające będą zestawione wg wzoru ustalonego przez Zamawiającego. Termin wykonania robót poprawkowych i robót uzupełniających wyznaczy komisja. Wyznaczenie nowego terminu odbioru końcowego nie powoduje zmiany warunków umowy, a w szczególności nie zwalnia Wykonawcy z obowiązku zapłacenia kar umownych. </w:t>
      </w:r>
    </w:p>
    <w:p>
      <w:pPr>
        <w:pStyle w:val="Normal"/>
        <w:ind w:hanging="8" w:start="702"/>
        <w:rPr>
          <w:u w:val="single"/>
        </w:rPr>
      </w:pPr>
      <w:r>
        <w:rPr>
          <w:u w:val="single"/>
        </w:rPr>
      </w:r>
    </w:p>
    <w:p>
      <w:pPr>
        <w:pStyle w:val="Normal"/>
        <w:ind w:hanging="8" w:start="702"/>
        <w:rPr/>
      </w:pPr>
      <w:r>
        <w:rPr>
          <w:u w:val="single"/>
        </w:rPr>
        <w:t>Odbiór pogwarancyjny</w:t>
      </w:r>
      <w:r>
        <w:rPr/>
        <w:t xml:space="preserve">. </w:t>
      </w:r>
    </w:p>
    <w:p>
      <w:pPr>
        <w:pStyle w:val="Normal"/>
        <w:ind w:hanging="8" w:start="702"/>
        <w:rPr/>
      </w:pPr>
      <w:r>
        <w:rPr/>
        <w:t xml:space="preserve">Odbiór pogwarancyjny polega na ocenie wykonanych robót związanych z usunięciem wad stwierdzonych przy odbiorze końcowym i zaistniałych w okresie gwarancyjnym. Odbiór pogwarancyjny będzie dokonany na podstawie oceny wizualnej obiektu z uwzględnieniem zasad zapisanych w części dotyczącej „Odbioru końcowego robót”. </w:t>
      </w:r>
    </w:p>
    <w:p>
      <w:pPr>
        <w:pStyle w:val="Normal"/>
        <w:ind w:hanging="8" w:start="702"/>
        <w:rPr/>
      </w:pPr>
      <w:r>
        <w:rPr/>
      </w:r>
    </w:p>
    <w:p>
      <w:pPr>
        <w:pStyle w:val="Normal"/>
        <w:numPr>
          <w:ilvl w:val="0"/>
          <w:numId w:val="6"/>
        </w:numPr>
        <w:ind w:hanging="201" w:start="201"/>
        <w:rPr/>
      </w:pPr>
      <w:r>
        <w:rPr/>
        <w:t xml:space="preserve">Podstawa płatności. </w:t>
      </w:r>
    </w:p>
    <w:p>
      <w:pPr>
        <w:pStyle w:val="Normal"/>
        <w:ind w:hanging="8" w:start="702"/>
        <w:rPr/>
      </w:pPr>
      <w:r>
        <w:rPr/>
        <w:t xml:space="preserve">Podstawą płatności jest cena ryczałtowa skalkulowana przez Wykonawcę za wykonanie przedmiotu zamówienia . Cena ryczałtowa musi uwzględniać wszystkie czynności, wymagania i badania składające się na jej wykonanie, określone dla danej roboty w specyfikacji technicznej i w dokumentacji projektowej. </w:t>
      </w:r>
    </w:p>
    <w:p>
      <w:pPr>
        <w:pStyle w:val="Normal"/>
        <w:ind w:hanging="8" w:start="702"/>
        <w:rPr/>
      </w:pPr>
      <w:r>
        <w:rPr/>
        <w:t xml:space="preserve">Cena ryczałtowa obejmuje : </w:t>
      </w:r>
    </w:p>
    <w:p>
      <w:pPr>
        <w:pStyle w:val="Normal"/>
        <w:numPr>
          <w:ilvl w:val="2"/>
          <w:numId w:val="7"/>
        </w:numPr>
        <w:ind w:hanging="360" w:start="1788"/>
        <w:rPr/>
      </w:pPr>
      <w:r>
        <w:rPr/>
        <w:t xml:space="preserve">robociznę bezpośrednią wraz z towarzyszącymi kosztami, </w:t>
      </w:r>
    </w:p>
    <w:p>
      <w:pPr>
        <w:pStyle w:val="Normal"/>
        <w:numPr>
          <w:ilvl w:val="2"/>
          <w:numId w:val="7"/>
        </w:numPr>
        <w:ind w:hanging="360" w:start="1788"/>
        <w:rPr/>
      </w:pPr>
      <w:r>
        <w:rPr/>
        <w:t xml:space="preserve">wartość zużytych materiałów wraz z kosztami zakupu, magazynowania, ewentualnych ubytków i transportu na teren budowy, </w:t>
      </w:r>
    </w:p>
    <w:p>
      <w:pPr>
        <w:pStyle w:val="Normal"/>
        <w:numPr>
          <w:ilvl w:val="2"/>
          <w:numId w:val="7"/>
        </w:numPr>
        <w:ind w:hanging="360" w:start="1788"/>
        <w:rPr/>
      </w:pPr>
      <w:r>
        <w:rPr/>
        <w:t>wartość pracy sprzętu wraz z towarzyszącymi kosztami,</w:t>
      </w:r>
    </w:p>
    <w:p>
      <w:pPr>
        <w:pStyle w:val="Normal"/>
        <w:numPr>
          <w:ilvl w:val="2"/>
          <w:numId w:val="7"/>
        </w:numPr>
        <w:ind w:hanging="360" w:start="1788"/>
        <w:rPr/>
      </w:pPr>
      <w:r>
        <w:rPr/>
        <w:t xml:space="preserve">koszty pośrednie i zysk kalkulacyjny. </w:t>
      </w:r>
    </w:p>
    <w:p>
      <w:pPr>
        <w:pStyle w:val="Normal"/>
        <w:ind w:hanging="8" w:start="702"/>
        <w:rPr/>
      </w:pPr>
      <w:r>
        <w:rPr/>
        <w:t xml:space="preserve">Wszystkie pozycje wycenianie są w PLN. Cena ryczałtowa powinna zawierać opłaty celne, podatki i inne opłaty nakładane poza krajem pochodzenia strony Zamawiającej, na produkcje, wytwarzanie, sprzedaż </w:t>
        <w:br/>
        <w:t xml:space="preserve">i transport wyposażenia Wykonawcy, urządzenie linii produkcyjnej, zakup materiałów i towarów, które będą wykorzystywane lub dostarczane w ramach Umowy oraz w ramach usług wykonywanych w ramach Umowy. Bez względu na jakiekolwiek ograniczenia zasugerowane przez opis każdej pozycji i/lub wyjaśnienie, Wykonawca musi jasno zrozumieć, że kwoty podane przez niego w Kosztorysie Ofertowym stanowią zapłatę za pracę wykonaną i zakończona pod każdym względem. Uważa się, że Wykonawca wziął pod uwagę wszystkie wymagania i zobowiązania, bez względu na to czy zostały określone czy zasugerowane, zawarte we wszystkich częściach niniejszej Umowy i że odpowiednio wycenił pozycje kosztorysu. Tak wiec, kwota musi zawierać nagłe i nieprzewidziane wydatki oraz różnorakie ryzyko związane z koniecznością wybudowania, wykończenia i konserwacji całości robót objętych Umową. Całość zamówienia będzie opodatkowana stawka podatku VAT. </w:t>
      </w:r>
    </w:p>
    <w:p>
      <w:pPr>
        <w:pStyle w:val="Normal"/>
        <w:ind w:hanging="8" w:start="702"/>
        <w:rPr/>
      </w:pPr>
      <w:r>
        <w:rPr/>
        <w:t xml:space="preserve">Wyliczenie podatku należy podąć osobno. </w:t>
      </w:r>
    </w:p>
    <w:p>
      <w:pPr>
        <w:pStyle w:val="Normal"/>
        <w:ind w:hanging="8" w:start="702"/>
        <w:rPr/>
      </w:pPr>
      <w:r>
        <w:rPr/>
      </w:r>
    </w:p>
    <w:p>
      <w:pPr>
        <w:pStyle w:val="Normal"/>
        <w:ind w:hanging="8" w:start="702"/>
        <w:rPr/>
      </w:pPr>
      <w:r>
        <w:rPr/>
      </w:r>
    </w:p>
    <w:p>
      <w:pPr>
        <w:pStyle w:val="Normal"/>
        <w:ind w:hanging="8" w:start="702"/>
        <w:rPr/>
      </w:pPr>
      <w:r>
        <w:rPr/>
      </w:r>
    </w:p>
    <w:p>
      <w:pPr>
        <w:pStyle w:val="Normal"/>
        <w:ind w:hanging="8" w:start="702"/>
        <w:rPr/>
      </w:pPr>
      <w:r>
        <w:rPr/>
      </w:r>
    </w:p>
    <w:p>
      <w:pPr>
        <w:pStyle w:val="Normal"/>
        <w:numPr>
          <w:ilvl w:val="0"/>
          <w:numId w:val="6"/>
        </w:numPr>
        <w:ind w:hanging="201" w:start="201"/>
        <w:rPr/>
      </w:pPr>
      <w:r>
        <w:rPr/>
        <w:t xml:space="preserve">Przepisy związane. </w:t>
      </w:r>
    </w:p>
    <w:p>
      <w:pPr>
        <w:pStyle w:val="Normal"/>
        <w:ind w:hanging="8" w:start="702"/>
        <w:rPr/>
      </w:pPr>
      <w:r>
        <w:rPr/>
        <w:t xml:space="preserve">Uwzględniono następujące przepisy i wytyczne ogólne: </w:t>
      </w:r>
    </w:p>
    <w:p>
      <w:pPr>
        <w:pStyle w:val="Normal"/>
        <w:numPr>
          <w:ilvl w:val="1"/>
          <w:numId w:val="6"/>
        </w:numPr>
        <w:ind w:hanging="410" w:start="1262"/>
        <w:rPr/>
      </w:pPr>
      <w:r>
        <w:rPr/>
        <w:t xml:space="preserve">Rozporządzenie Ministra Rozwoju i Technologii z dnia 20 grudnia 2021 r. w sprawie określenia metod i podstaw sporządzania kosztorysu inwestorskiego, (…) (Dz.U. 2021.2458),  </w:t>
      </w:r>
    </w:p>
    <w:p>
      <w:pPr>
        <w:pStyle w:val="Normal"/>
        <w:numPr>
          <w:ilvl w:val="1"/>
          <w:numId w:val="6"/>
        </w:numPr>
        <w:ind w:hanging="410" w:start="1262"/>
        <w:rPr/>
      </w:pPr>
      <w:r>
        <w:rPr/>
        <w:t xml:space="preserve">Rozporządzenie Ministra Rozwoju i Technologii z dnia 20 grudnia 2021 r. w sprawie szczegółowego zakresu i formy dokumentacji projektowej, specyfikacji technicznych wykonania i odbioru robót budowlanych oraz programu funkcjonalno – użytkowego. (Dz. U. 2021.2454), </w:t>
      </w:r>
    </w:p>
    <w:p>
      <w:pPr>
        <w:pStyle w:val="Normal"/>
        <w:numPr>
          <w:ilvl w:val="1"/>
          <w:numId w:val="6"/>
        </w:numPr>
        <w:ind w:hanging="410" w:start="1262"/>
        <w:rPr/>
      </w:pPr>
      <w:r>
        <w:rPr/>
        <w:t xml:space="preserve">Rozporządzenie Ministra Infrastruktury z dnia 6 lutego 2003 r. w sprawie bezpieczeństwa i higieny pracy podczas wykonywania robót budowlanych (Dz.U. nr. 47: poz. 401), </w:t>
      </w:r>
    </w:p>
    <w:p>
      <w:pPr>
        <w:pStyle w:val="Normal"/>
        <w:numPr>
          <w:ilvl w:val="1"/>
          <w:numId w:val="6"/>
        </w:numPr>
        <w:ind w:hanging="410" w:start="1262"/>
        <w:rPr/>
      </w:pPr>
      <w:r>
        <w:rPr/>
        <w:t xml:space="preserve">Rozporządzenie Ministra Infrastruktury z dnia 12 kwietnia 2002 r w sprawie warunków technicznych, jakim powinny odpowiadać budynki i ich usytuowanie z późniejszymi zmianami (t.j. Dz. U. 2022.1225 z dnia 09.06.2022 r.) . </w:t>
      </w:r>
    </w:p>
    <w:p>
      <w:pPr>
        <w:pStyle w:val="Normal"/>
        <w:numPr>
          <w:ilvl w:val="1"/>
          <w:numId w:val="6"/>
        </w:numPr>
        <w:ind w:hanging="410" w:start="1262"/>
        <w:rPr/>
      </w:pPr>
      <w:r>
        <w:rPr/>
        <w:t xml:space="preserve">Ustawa z dnia 7 lipca 1994 r.  Prawo Budowlane z późniejszymi zmianami (t.j. Dz. U. 2025.418 z dnia 01.04.2025 r.) oraz przepisy wykonawcze do Ustawy, </w:t>
      </w:r>
    </w:p>
    <w:p>
      <w:pPr>
        <w:pStyle w:val="Normal"/>
        <w:numPr>
          <w:ilvl w:val="1"/>
          <w:numId w:val="6"/>
        </w:numPr>
        <w:ind w:hanging="410" w:start="1262"/>
        <w:rPr/>
      </w:pPr>
      <w:r>
        <w:rPr/>
        <w:t xml:space="preserve">Ustawa z dnia 11 września 2019 r. Prawo Zamówień Publicznych z późniejszymi zmianami (t.j. Dz. U. 2024.1320 z dnia 30.08.2024 r.), </w:t>
      </w:r>
    </w:p>
    <w:p>
      <w:pPr>
        <w:pStyle w:val="Normal"/>
        <w:numPr>
          <w:ilvl w:val="1"/>
          <w:numId w:val="6"/>
        </w:numPr>
        <w:ind w:hanging="410" w:start="1262"/>
        <w:rPr/>
      </w:pPr>
      <w:r>
        <w:rPr/>
        <w:t xml:space="preserve">Ustawa o wyrobach budowlanych z dnia 16 kwietnia 2004 r. (t.j. Dz.U. 2021.1213 z dnia 05.07.2021 r.), </w:t>
      </w:r>
    </w:p>
    <w:p>
      <w:pPr>
        <w:pStyle w:val="Normal"/>
        <w:numPr>
          <w:ilvl w:val="1"/>
          <w:numId w:val="6"/>
        </w:numPr>
        <w:ind w:hanging="410" w:start="1262"/>
        <w:rPr/>
      </w:pPr>
      <w:r>
        <w:rPr/>
        <w:t xml:space="preserve">Specyfikacje techniczne wykonania i odbioru robót budowlanych. Wymagania ogólne. OWEOB Promocja Sp. z o.o., Warszawa 2003 r., </w:t>
      </w:r>
    </w:p>
    <w:p>
      <w:pPr>
        <w:pStyle w:val="Normal"/>
        <w:numPr>
          <w:ilvl w:val="1"/>
          <w:numId w:val="6"/>
        </w:numPr>
        <w:ind w:hanging="410" w:start="1262"/>
        <w:rPr/>
      </w:pPr>
      <w:r>
        <w:rPr/>
        <w:t xml:space="preserve">Instrukcja ITB nr 282. Wytyczne wykonywania i odbioru robót budowlano – montażowych </w:t>
        <w:br/>
        <w:t xml:space="preserve">w okresie obniżonych temperatur, ITB 1988, </w:t>
      </w:r>
    </w:p>
    <w:p>
      <w:pPr>
        <w:pStyle w:val="Normal"/>
        <w:numPr>
          <w:ilvl w:val="1"/>
          <w:numId w:val="6"/>
        </w:numPr>
        <w:ind w:hanging="410" w:start="1262"/>
        <w:rPr/>
      </w:pPr>
      <w:r>
        <w:rPr/>
        <w:t xml:space="preserve">Warunki techniczne wykonania i odbioru robót budowlano – montażowych. Tom I, budownictwo ogólne. MGPiB, ITB, Arkady 1989. </w:t>
      </w:r>
    </w:p>
    <w:p>
      <w:pPr>
        <w:pStyle w:val="Normal"/>
        <w:spacing w:lineRule="auto" w:line="259" w:before="0" w:after="0"/>
        <w:ind w:hanging="0" w:start="0"/>
        <w:jc w:val="start"/>
        <w:rPr/>
      </w:pPr>
      <w:r>
        <w:rPr>
          <w:sz w:val="18"/>
        </w:rPr>
        <w:t xml:space="preserve">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6" w:right="1407" w:gutter="0" w:header="708" w:top="1455" w:footer="698" w:bottom="1561"/>
      <w:pgNumType w:fmt="decimal"/>
      <w:formProt w:val="false"/>
      <w:titlePg/>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01"/>
    <w:family w:val="roman"/>
    <w:pitch w:val="default"/>
  </w:font>
  <w:font w:name="Times New Roman">
    <w:charset w:val="01"/>
    <w:family w:val="roman"/>
    <w:pitch w:val="default"/>
  </w:font>
  <w:font w:name="Segoe UI">
    <w:charset w:val="01"/>
    <w:family w:val="swiss"/>
    <w:pitch w:val="default"/>
  </w:font>
  <w:font w:name="Liberation Sans">
    <w:altName w:val="Arial"/>
    <w:charset w:val="ee" w:characterSet="windows-1250"/>
    <w:family w:val="swiss"/>
    <w:pitch w:val="variable"/>
  </w:font>
  <w:font w:name="Arial">
    <w:charset w:val="01"/>
    <w:family w:val="swiss"/>
    <w:pitch w:val="default"/>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24"/>
      <w:ind w:hanging="0" w:start="2918"/>
      <w:jc w:val="start"/>
      <w:rPr/>
    </w:pPr>
    <w:r>
      <w:rPr>
        <w:rFonts w:eastAsia="Arial" w:cs="Arial" w:ascii="Arial" w:hAnsi="Arial"/>
        <w:b/>
        <w:sz w:val="16"/>
      </w:rPr>
      <w:t xml:space="preserve">S T 1 .   W Y M A G A N I A O G Ó L N E  </w:t>
    </w:r>
  </w:p>
  <w:p>
    <w:pPr>
      <w:pStyle w:val="Normal"/>
      <w:spacing w:lineRule="auto" w:line="223" w:before="0" w:after="0"/>
      <w:ind w:hanging="720" w:start="3994" w:end="3046"/>
      <w:rPr/>
    </w:pPr>
    <w:r>
      <w:rPr>
        <w:rFonts w:eastAsia="Arial" w:cs="Arial" w:ascii="Arial" w:hAnsi="Arial"/>
        <w:b/>
        <w:sz w:val="16"/>
      </w:rPr>
      <w:t>Prace remontowe w PP Pozna</w:t>
    </w:r>
    <w:r>
      <w:rPr>
        <w:rFonts w:eastAsia="Arial" w:cs="Arial" w:ascii="Arial" w:hAnsi="Arial"/>
        <w:sz w:val="16"/>
      </w:rPr>
      <w:t xml:space="preserve">ń s t r o n a </w:t>
    </w:r>
    <w:r>
      <w:rPr/>
      <w:fldChar w:fldCharType="begin"/>
    </w:r>
    <w:r>
      <w:rPr/>
      <w:instrText xml:space="preserve"> PAGE </w:instrText>
    </w:r>
    <w:r>
      <w:rPr/>
      <w:fldChar w:fldCharType="separate"/>
    </w:r>
    <w:r>
      <w:rPr/>
      <w:t>0</w:t>
    </w:r>
    <w:r>
      <w:rPr/>
      <w:fldChar w:fldCharType="end"/>
    </w:r>
    <w:r>
      <w:rPr>
        <w:sz w:val="16"/>
      </w:rPr>
      <w:t xml:space="preserve"> z </w:t>
    </w:r>
    <w:r>
      <w:rPr/>
      <w:fldChar w:fldCharType="begin"/>
    </w:r>
    <w:r>
      <w:rPr/>
      <w:instrText xml:space="preserve"> NUMPAGES </w:instrText>
    </w:r>
    <w:r>
      <w:rPr/>
      <w:fldChar w:fldCharType="separate"/>
    </w:r>
    <w:r>
      <w:rPr/>
      <w:t>9</w:t>
    </w:r>
    <w:r>
      <w:rPr/>
      <w:fldChar w:fldCharType="end"/>
    </w:r>
    <w:r>
      <w:rPr>
        <w:sz w:val="24"/>
      </w:rPr>
      <w:t xml:space="preserve"> </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728636285"/>
      <w:docPartObj>
        <w:docPartGallery w:val="Page Numbers (Bottom of Page)"/>
        <w:docPartUnique w:val="true"/>
        <w:docPartGallery w:val="Page Numbers (Top of Page)"/>
        <w:docPartUnique w:val="true"/>
      </w:docPartObj>
    </w:sdtPr>
    <w:sdtContent>
      <w:p>
        <w:pPr>
          <w:pStyle w:val="Footer"/>
          <w:jc w:val="center"/>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9</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9</w:t>
        </w:r>
        <w:r>
          <w:rPr>
            <w:b/>
            <w:bCs/>
            <w:sz w:val="24"/>
            <w:szCs w:val="24"/>
          </w:rPr>
          <w:fldChar w:fldCharType="end"/>
        </w:r>
      </w:p>
    </w:sdtContent>
  </w:sdt>
  <w:p>
    <w:pPr>
      <w:pStyle w:val="Normal"/>
      <w:spacing w:lineRule="auto" w:line="223" w:before="0" w:after="0"/>
      <w:ind w:hanging="720" w:start="3994" w:end="3046"/>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717049066"/>
      <w:docPartObj>
        <w:docPartGallery w:val="Page Numbers (Bottom of Page)"/>
        <w:docPartUnique w:val="true"/>
        <w:docPartGallery w:val="Page Numbers (Top of Page)"/>
        <w:docPartUnique w:val="true"/>
      </w:docPartObj>
    </w:sdtPr>
    <w:sdtContent>
      <w:p>
        <w:pPr>
          <w:pStyle w:val="Footer"/>
          <w:jc w:val="center"/>
          <w:rPr/>
        </w:pPr>
        <w:r>
          <w:rPr/>
          <w:t xml:space="preserve">Strona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1</w:t>
        </w:r>
        <w:r>
          <w:rPr>
            <w:b/>
            <w:bCs/>
            <w:sz w:val="24"/>
            <w:szCs w:val="24"/>
          </w:rPr>
          <w:fldChar w:fldCharType="end"/>
        </w:r>
        <w:r>
          <w:rPr/>
          <w:t xml:space="preserve"> z </w:t>
        </w:r>
        <w:r>
          <w:rPr>
            <w:b/>
            <w:bCs/>
            <w:sz w:val="24"/>
            <w:szCs w:val="24"/>
          </w:rPr>
          <w:fldChar w:fldCharType="begin"/>
        </w:r>
        <w:r>
          <w:rPr>
            <w:b/>
            <w:bCs/>
            <w:sz w:val="24"/>
            <w:szCs w:val="24"/>
          </w:rPr>
          <w:instrText xml:space="preserve"> NUMPAGES </w:instrText>
        </w:r>
        <w:r>
          <w:rPr>
            <w:b/>
            <w:bCs/>
            <w:sz w:val="24"/>
            <w:szCs w:val="24"/>
          </w:rPr>
          <w:fldChar w:fldCharType="separate"/>
        </w:r>
        <w:r>
          <w:rPr>
            <w:b/>
            <w:bCs/>
            <w:sz w:val="24"/>
            <w:szCs w:val="24"/>
          </w:rPr>
          <w:t>9</w:t>
        </w:r>
        <w:r>
          <w:rPr>
            <w:b/>
            <w:bCs/>
            <w:sz w:val="24"/>
            <w:szCs w:val="24"/>
          </w:rPr>
          <w:fldChar w:fldCharType="end"/>
        </w:r>
      </w:p>
    </w:sdtContent>
  </w:sdt>
  <w:p>
    <w:pPr>
      <w:pStyle w:val="Normal"/>
      <w:spacing w:lineRule="auto" w:line="223" w:before="0" w:after="0"/>
      <w:ind w:hanging="720" w:start="3994" w:end="3046"/>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60" w:before="0" w:after="0"/>
      <w:ind w:hanging="10" w:start="10" w:end="288"/>
      <w:jc w:val="end"/>
      <w:rPr>
        <w:szCs w:val="20"/>
      </w:rPr>
    </w:pPr>
    <w:bookmarkStart w:id="1" w:name="_Hlk196208404"/>
    <w:r>
      <w:drawing>
        <wp:anchor distT="0" distB="0" distL="0" distR="0" simplePos="0" relativeHeight="8" behindDoc="1" locked="0" layoutInCell="1" allowOverlap="1">
          <wp:simplePos x="0" y="0"/>
          <wp:positionH relativeFrom="column">
            <wp:posOffset>5705475</wp:posOffset>
          </wp:positionH>
          <wp:positionV relativeFrom="paragraph">
            <wp:posOffset>-210185</wp:posOffset>
          </wp:positionV>
          <wp:extent cx="681355" cy="681355"/>
          <wp:effectExtent l="0" t="0" r="0" b="0"/>
          <wp:wrapNone/>
          <wp:docPr id="1" name="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10"/>
                  <pic:cNvPicPr>
                    <a:picLocks noChangeAspect="1" noChangeArrowheads="1"/>
                  </pic:cNvPicPr>
                </pic:nvPicPr>
                <pic:blipFill>
                  <a:blip r:embed="rId1"/>
                  <a:stretch>
                    <a:fillRect/>
                  </a:stretch>
                </pic:blipFill>
                <pic:spPr bwMode="auto">
                  <a:xfrm>
                    <a:off x="0" y="0"/>
                    <a:ext cx="681355" cy="681355"/>
                  </a:xfrm>
                  <a:prstGeom prst="rect">
                    <a:avLst/>
                  </a:prstGeom>
                  <a:noFill/>
                </pic:spPr>
              </pic:pic>
            </a:graphicData>
          </a:graphic>
        </wp:anchor>
      </w:drawing>
    </w:r>
    <w:r>
      <w:rPr>
        <w:b/>
        <w:szCs w:val="20"/>
      </w:rPr>
      <w:t>SPECYFIKACJA TECHNICZNA WYKONANIA I ODBIORU ROBÓT</w:t>
    </w:r>
  </w:p>
  <w:p>
    <w:pPr>
      <w:pStyle w:val="Normal"/>
      <w:spacing w:lineRule="auto" w:line="360" w:before="0" w:after="0"/>
      <w:ind w:hanging="0" w:start="0" w:end="288"/>
      <w:jc w:val="end"/>
      <w:rPr>
        <w:szCs w:val="20"/>
      </w:rPr>
    </w:pPr>
    <w:r>
      <w:rPr>
        <w:b/>
        <w:szCs w:val="20"/>
      </w:rPr>
      <w:t xml:space="preserve"> </w:t>
    </w:r>
    <w:r>
      <w:rPr>
        <w:b/>
        <w:szCs w:val="20"/>
      </w:rPr>
      <w:t>BUDYNEK A</w:t>
    </w:r>
    <w:r>
      <w:rPr>
        <w:b/>
        <w:szCs w:val="20"/>
      </w:rPr>
      <w:t>4, A5, A23</w:t>
    </w:r>
    <w:r>
      <w:rPr>
        <w:b/>
        <w:szCs w:val="20"/>
      </w:rPr>
      <w:t>, A</w:t>
    </w:r>
    <w:r>
      <w:rPr>
        <w:b/>
        <w:szCs w:val="20"/>
      </w:rPr>
      <w:t>23</w:t>
    </w:r>
    <w:r>
      <w:rPr>
        <w:b/>
        <w:szCs w:val="20"/>
      </w:rPr>
      <w:t>a, A</w:t>
    </w:r>
    <w:r>
      <w:rPr>
        <w:b/>
        <w:szCs w:val="20"/>
      </w:rPr>
      <w:t>25</w:t>
    </w:r>
    <w:r>
      <w:rPr>
        <w:b/>
        <w:szCs w:val="20"/>
      </w:rPr>
      <w:t xml:space="preserve"> - BRANŻA BUDOWLANA</w:t>
    </w:r>
    <w:bookmarkEnd w:id="1"/>
  </w:p>
  <w:p>
    <w:pPr>
      <w:pStyle w:val="Normal"/>
      <w:spacing w:lineRule="auto" w:line="259" w:before="0" w:after="0"/>
      <w:ind w:hanging="0" w:start="0" w:end="1631"/>
      <w:rPr>
        <w:szCs w:val="20"/>
      </w:rPr>
    </w:pPr>
    <w:r>
      <w:rPr>
        <w:szCs w:val="20"/>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9072"/>
        <w:tab w:val="center" w:pos="4536" w:leader="none"/>
        <w:tab w:val="right" w:pos="8647" w:leader="none"/>
      </w:tabs>
      <w:ind w:hanging="8" w:start="8" w:end="430"/>
      <w:jc w:val="end"/>
      <w:rPr>
        <w:color w:themeColor="accent5" w:themeShade="80" w:val="1F4E79"/>
      </w:rPr>
    </w:pPr>
    <w:bookmarkStart w:id="2" w:name="_Hlk196208238"/>
    <w:bookmarkStart w:id="3" w:name="_Hlk196208237"/>
    <w:r>
      <w:drawing>
        <wp:anchor distT="0" distB="0" distL="0" distR="0" simplePos="0" relativeHeight="10" behindDoc="1" locked="0" layoutInCell="1" allowOverlap="1">
          <wp:simplePos x="0" y="0"/>
          <wp:positionH relativeFrom="column">
            <wp:posOffset>5686425</wp:posOffset>
          </wp:positionH>
          <wp:positionV relativeFrom="paragraph">
            <wp:posOffset>-210185</wp:posOffset>
          </wp:positionV>
          <wp:extent cx="681355" cy="681355"/>
          <wp:effectExtent l="0" t="0" r="0" b="0"/>
          <wp:wrapNone/>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1"/>
                  <a:stretch>
                    <a:fillRect/>
                  </a:stretch>
                </pic:blipFill>
                <pic:spPr bwMode="auto">
                  <a:xfrm>
                    <a:off x="0" y="0"/>
                    <a:ext cx="681355" cy="681355"/>
                  </a:xfrm>
                  <a:prstGeom prst="rect">
                    <a:avLst/>
                  </a:prstGeom>
                  <a:noFill/>
                </pic:spPr>
              </pic:pic>
            </a:graphicData>
          </a:graphic>
        </wp:anchor>
      </w:drawing>
    </w:r>
    <w:r>
      <w:rPr>
        <w:color w:themeColor="accent5" w:themeShade="80" w:val="1F4E79"/>
      </w:rPr>
      <w:t>POLITECHNIKA POZNAŃSKA</w:t>
    </w:r>
  </w:p>
  <w:p>
    <w:pPr>
      <w:pStyle w:val="Header"/>
      <w:tabs>
        <w:tab w:val="clear" w:pos="9072"/>
        <w:tab w:val="center" w:pos="4536" w:leader="none"/>
        <w:tab w:val="right" w:pos="8647" w:leader="none"/>
      </w:tabs>
      <w:ind w:hanging="8" w:start="8" w:end="430"/>
      <w:jc w:val="end"/>
      <w:rPr/>
    </w:pPr>
    <w:r>
      <w:rPr>
        <w:color w:themeColor="accent5" w:themeShade="80" w:val="1F4E79"/>
      </w:rPr>
      <w:t>ul. Jacka Rychlewskiego 1</w:t>
    </w:r>
    <w:r>
      <w:rPr>
        <w:color w:themeColor="accent5" w:themeShade="80" w:val="1F4E79"/>
      </w:rPr>
      <w:t>, 6</w:t>
    </w:r>
    <w:r>
      <w:rPr>
        <w:color w:themeColor="accent5" w:themeShade="80" w:val="1F4E79"/>
      </w:rPr>
      <w:t>1</w:t>
    </w:r>
    <w:r>
      <w:rPr>
        <w:color w:themeColor="accent5" w:themeShade="80" w:val="1F4E79"/>
      </w:rPr>
      <w:t>-</w:t>
    </w:r>
    <w:r>
      <w:rPr>
        <w:color w:themeColor="accent5" w:themeShade="80" w:val="1F4E79"/>
      </w:rPr>
      <w:t>131</w:t>
    </w:r>
    <w:r>
      <w:rPr>
        <w:color w:themeColor="accent5" w:themeShade="80" w:val="1F4E79"/>
      </w:rPr>
      <w:t xml:space="preserve"> Poznań</w:t>
    </w:r>
    <w:r>
      <w:rPr/>
      <w:t xml:space="preserve"> </w:t>
    </w:r>
    <w:bookmarkEnd w:id="2"/>
    <w:bookmarkEnd w:id="3"/>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1">
      <w:start w:val="1"/>
      <w:numFmt w:val="decimal"/>
      <w:lvlText w:val="%1.%2."/>
      <w:lvlJc w:val="start"/>
      <w:pPr>
        <w:tabs>
          <w:tab w:val="num" w:pos="0"/>
        </w:tabs>
        <w:ind w:start="70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115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187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259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331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403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475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547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2">
    <w:lvl w:ilvl="0">
      <w:start w:val="2"/>
      <w:numFmt w:val="decimal"/>
      <w:lvlText w:val="%1."/>
      <w:lvlJc w:val="start"/>
      <w:pPr>
        <w:tabs>
          <w:tab w:val="num" w:pos="0"/>
        </w:tabs>
        <w:ind w:start="202"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1">
      <w:start w:val="1"/>
      <w:numFmt w:val="decimal"/>
      <w:lvlText w:val="%1.%2."/>
      <w:lvlJc w:val="start"/>
      <w:pPr>
        <w:tabs>
          <w:tab w:val="num" w:pos="0"/>
        </w:tabs>
        <w:ind w:start="351"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2">
      <w:start w:val="1"/>
      <w:numFmt w:val="lowerRoman"/>
      <w:lvlText w:val="%3"/>
      <w:lvlJc w:val="start"/>
      <w:pPr>
        <w:tabs>
          <w:tab w:val="num" w:pos="0"/>
        </w:tabs>
        <w:ind w:start="129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3">
      <w:start w:val="1"/>
      <w:numFmt w:val="decimal"/>
      <w:lvlText w:val="%4"/>
      <w:lvlJc w:val="start"/>
      <w:pPr>
        <w:tabs>
          <w:tab w:val="num" w:pos="0"/>
        </w:tabs>
        <w:ind w:start="201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4">
      <w:start w:val="1"/>
      <w:numFmt w:val="lowerLetter"/>
      <w:lvlText w:val="%5"/>
      <w:lvlJc w:val="start"/>
      <w:pPr>
        <w:tabs>
          <w:tab w:val="num" w:pos="0"/>
        </w:tabs>
        <w:ind w:start="273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5">
      <w:start w:val="1"/>
      <w:numFmt w:val="lowerRoman"/>
      <w:lvlText w:val="%6"/>
      <w:lvlJc w:val="start"/>
      <w:pPr>
        <w:tabs>
          <w:tab w:val="num" w:pos="0"/>
        </w:tabs>
        <w:ind w:start="345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6">
      <w:start w:val="1"/>
      <w:numFmt w:val="decimal"/>
      <w:lvlText w:val="%7"/>
      <w:lvlJc w:val="start"/>
      <w:pPr>
        <w:tabs>
          <w:tab w:val="num" w:pos="0"/>
        </w:tabs>
        <w:ind w:start="417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7">
      <w:start w:val="1"/>
      <w:numFmt w:val="lowerLetter"/>
      <w:lvlText w:val="%8"/>
      <w:lvlJc w:val="start"/>
      <w:pPr>
        <w:tabs>
          <w:tab w:val="num" w:pos="0"/>
        </w:tabs>
        <w:ind w:start="489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8">
      <w:start w:val="1"/>
      <w:numFmt w:val="lowerRoman"/>
      <w:lvlText w:val="%9"/>
      <w:lvlJc w:val="start"/>
      <w:pPr>
        <w:tabs>
          <w:tab w:val="num" w:pos="0"/>
        </w:tabs>
        <w:ind w:start="561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abstractNum>
  <w:abstractNum w:abstractNumId="3">
    <w:lvl w:ilvl="0">
      <w:start w:val="1"/>
      <w:numFmt w:val="lowerLetter"/>
      <w:lvlText w:val="%1)"/>
      <w:lvlJc w:val="start"/>
      <w:pPr>
        <w:tabs>
          <w:tab w:val="num" w:pos="0"/>
        </w:tabs>
        <w:ind w:start="105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1">
      <w:start w:val="1"/>
      <w:numFmt w:val="lowerLetter"/>
      <w:lvlText w:val="%2"/>
      <w:lvlJc w:val="start"/>
      <w:pPr>
        <w:tabs>
          <w:tab w:val="num" w:pos="0"/>
        </w:tabs>
        <w:ind w:start="178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2">
      <w:start w:val="1"/>
      <w:numFmt w:val="lowerRoman"/>
      <w:lvlText w:val="%3"/>
      <w:lvlJc w:val="start"/>
      <w:pPr>
        <w:tabs>
          <w:tab w:val="num" w:pos="0"/>
        </w:tabs>
        <w:ind w:start="250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3">
      <w:start w:val="1"/>
      <w:numFmt w:val="decimal"/>
      <w:lvlText w:val="%4"/>
      <w:lvlJc w:val="start"/>
      <w:pPr>
        <w:tabs>
          <w:tab w:val="num" w:pos="0"/>
        </w:tabs>
        <w:ind w:start="322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4">
      <w:start w:val="1"/>
      <w:numFmt w:val="lowerLetter"/>
      <w:lvlText w:val="%5"/>
      <w:lvlJc w:val="start"/>
      <w:pPr>
        <w:tabs>
          <w:tab w:val="num" w:pos="0"/>
        </w:tabs>
        <w:ind w:start="394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5">
      <w:start w:val="1"/>
      <w:numFmt w:val="lowerRoman"/>
      <w:lvlText w:val="%6"/>
      <w:lvlJc w:val="start"/>
      <w:pPr>
        <w:tabs>
          <w:tab w:val="num" w:pos="0"/>
        </w:tabs>
        <w:ind w:start="466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6">
      <w:start w:val="1"/>
      <w:numFmt w:val="decimal"/>
      <w:lvlText w:val="%7"/>
      <w:lvlJc w:val="start"/>
      <w:pPr>
        <w:tabs>
          <w:tab w:val="num" w:pos="0"/>
        </w:tabs>
        <w:ind w:start="538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7">
      <w:start w:val="1"/>
      <w:numFmt w:val="lowerLetter"/>
      <w:lvlText w:val="%8"/>
      <w:lvlJc w:val="start"/>
      <w:pPr>
        <w:tabs>
          <w:tab w:val="num" w:pos="0"/>
        </w:tabs>
        <w:ind w:start="610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8">
      <w:start w:val="1"/>
      <w:numFmt w:val="lowerRoman"/>
      <w:lvlText w:val="%9"/>
      <w:lvlJc w:val="start"/>
      <w:pPr>
        <w:tabs>
          <w:tab w:val="num" w:pos="0"/>
        </w:tabs>
        <w:ind w:start="6826"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abstractNum>
  <w:abstractNum w:abstractNumId="4">
    <w:lvl w:ilvl="0">
      <w:start w:val="1"/>
      <w:numFmt w:val="bullet"/>
      <w:lvlText w:val="-"/>
      <w:lvlJc w:val="start"/>
      <w:pPr>
        <w:tabs>
          <w:tab w:val="num" w:pos="0"/>
        </w:tabs>
        <w:ind w:start="743"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87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259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331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403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75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547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619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91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5">
    <w:lvl w:ilvl="0">
      <w:start w:val="2"/>
      <w:numFmt w:val="lowerLetter"/>
      <w:lvlText w:val="%1)"/>
      <w:lvlJc w:val="start"/>
      <w:pPr>
        <w:tabs>
          <w:tab w:val="num" w:pos="0"/>
        </w:tabs>
        <w:ind w:start="1054"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1">
      <w:start w:val="1"/>
      <w:numFmt w:val="lowerLetter"/>
      <w:lvlText w:val="%2"/>
      <w:lvlJc w:val="start"/>
      <w:pPr>
        <w:tabs>
          <w:tab w:val="num" w:pos="0"/>
        </w:tabs>
        <w:ind w:start="178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2">
      <w:start w:val="1"/>
      <w:numFmt w:val="lowerRoman"/>
      <w:lvlText w:val="%3"/>
      <w:lvlJc w:val="start"/>
      <w:pPr>
        <w:tabs>
          <w:tab w:val="num" w:pos="0"/>
        </w:tabs>
        <w:ind w:start="250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3">
      <w:start w:val="1"/>
      <w:numFmt w:val="decimal"/>
      <w:lvlText w:val="%4"/>
      <w:lvlJc w:val="start"/>
      <w:pPr>
        <w:tabs>
          <w:tab w:val="num" w:pos="0"/>
        </w:tabs>
        <w:ind w:start="322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4">
      <w:start w:val="1"/>
      <w:numFmt w:val="lowerLetter"/>
      <w:lvlText w:val="%5"/>
      <w:lvlJc w:val="start"/>
      <w:pPr>
        <w:tabs>
          <w:tab w:val="num" w:pos="0"/>
        </w:tabs>
        <w:ind w:start="394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5">
      <w:start w:val="1"/>
      <w:numFmt w:val="lowerRoman"/>
      <w:lvlText w:val="%6"/>
      <w:lvlJc w:val="start"/>
      <w:pPr>
        <w:tabs>
          <w:tab w:val="num" w:pos="0"/>
        </w:tabs>
        <w:ind w:start="466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6">
      <w:start w:val="1"/>
      <w:numFmt w:val="decimal"/>
      <w:lvlText w:val="%7"/>
      <w:lvlJc w:val="start"/>
      <w:pPr>
        <w:tabs>
          <w:tab w:val="num" w:pos="0"/>
        </w:tabs>
        <w:ind w:start="538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7">
      <w:start w:val="1"/>
      <w:numFmt w:val="lowerLetter"/>
      <w:lvlText w:val="%8"/>
      <w:lvlJc w:val="start"/>
      <w:pPr>
        <w:tabs>
          <w:tab w:val="num" w:pos="0"/>
        </w:tabs>
        <w:ind w:start="610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8">
      <w:start w:val="1"/>
      <w:numFmt w:val="lowerRoman"/>
      <w:lvlText w:val="%9"/>
      <w:lvlJc w:val="start"/>
      <w:pPr>
        <w:tabs>
          <w:tab w:val="num" w:pos="0"/>
        </w:tabs>
        <w:ind w:start="6828"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abstractNum>
  <w:abstractNum w:abstractNumId="6">
    <w:lvl w:ilvl="0">
      <w:start w:val="8"/>
      <w:numFmt w:val="decimal"/>
      <w:lvlText w:val="%1."/>
      <w:lvlJc w:val="start"/>
      <w:pPr>
        <w:tabs>
          <w:tab w:val="num" w:pos="0"/>
        </w:tabs>
        <w:ind w:start="202" w:hanging="0"/>
      </w:pPr>
      <w:rPr>
        <w:rFonts w:ascii="Times New Roman" w:hAnsi="Times New Roman" w:eastAsia="Times New Roman" w:cs="Times New Roman"/>
        <w:b w:val="false"/>
        <w:i w:val="false"/>
        <w:strike w:val="false"/>
        <w:dstrike w:val="false"/>
        <w:color w:val="000000"/>
        <w:position w:val="0"/>
        <w:sz w:val="20"/>
        <w:szCs w:val="20"/>
        <w:u w:val="none" w:color="000000"/>
        <w:shd w:fill="auto" w:val="clear"/>
        <w:vertAlign w:val="baseline"/>
      </w:rPr>
    </w:lvl>
    <w:lvl w:ilvl="1">
      <w:start w:val="1"/>
      <w:numFmt w:val="bullet"/>
      <w:lvlText w:val="-"/>
      <w:lvlJc w:val="start"/>
      <w:pPr>
        <w:tabs>
          <w:tab w:val="num" w:pos="0"/>
        </w:tabs>
        <w:ind w:start="1263"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193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265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37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409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481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553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252"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7">
    <w:lvl w:ilvl="0">
      <w:start w:val="1"/>
      <w:numFmt w:val="bullet"/>
      <w:lvlText w:val="•"/>
      <w:lvlJc w:val="start"/>
      <w:pPr>
        <w:tabs>
          <w:tab w:val="num" w:pos="0"/>
        </w:tabs>
        <w:ind w:start="360"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1">
      <w:start w:val="1"/>
      <w:numFmt w:val="bullet"/>
      <w:lvlText w:val="o"/>
      <w:lvlJc w:val="start"/>
      <w:pPr>
        <w:tabs>
          <w:tab w:val="num" w:pos="0"/>
        </w:tabs>
        <w:ind w:start="1074"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2">
      <w:start w:val="1"/>
      <w:numFmt w:val="bullet"/>
      <w:lvlText w:val="-"/>
      <w:lvlJc w:val="start"/>
      <w:pPr>
        <w:tabs>
          <w:tab w:val="num" w:pos="0"/>
        </w:tabs>
        <w:ind w:start="17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3">
      <w:start w:val="1"/>
      <w:numFmt w:val="bullet"/>
      <w:lvlText w:val="•"/>
      <w:lvlJc w:val="start"/>
      <w:pPr>
        <w:tabs>
          <w:tab w:val="num" w:pos="0"/>
        </w:tabs>
        <w:ind w:start="25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4">
      <w:start w:val="1"/>
      <w:numFmt w:val="bullet"/>
      <w:lvlText w:val="o"/>
      <w:lvlJc w:val="start"/>
      <w:pPr>
        <w:tabs>
          <w:tab w:val="num" w:pos="0"/>
        </w:tabs>
        <w:ind w:start="322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5">
      <w:start w:val="1"/>
      <w:numFmt w:val="bullet"/>
      <w:lvlText w:val="▪"/>
      <w:lvlJc w:val="start"/>
      <w:pPr>
        <w:tabs>
          <w:tab w:val="num" w:pos="0"/>
        </w:tabs>
        <w:ind w:start="394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6">
      <w:start w:val="1"/>
      <w:numFmt w:val="bullet"/>
      <w:lvlText w:val="•"/>
      <w:lvlJc w:val="start"/>
      <w:pPr>
        <w:tabs>
          <w:tab w:val="num" w:pos="0"/>
        </w:tabs>
        <w:ind w:start="466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7">
      <w:start w:val="1"/>
      <w:numFmt w:val="bullet"/>
      <w:lvlText w:val="o"/>
      <w:lvlJc w:val="start"/>
      <w:pPr>
        <w:tabs>
          <w:tab w:val="num" w:pos="0"/>
        </w:tabs>
        <w:ind w:start="538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lvl w:ilvl="8">
      <w:start w:val="1"/>
      <w:numFmt w:val="bullet"/>
      <w:lvlText w:val="▪"/>
      <w:lvlJc w:val="start"/>
      <w:pPr>
        <w:tabs>
          <w:tab w:val="num" w:pos="0"/>
        </w:tabs>
        <w:ind w:start="6108" w:hanging="0"/>
      </w:pPr>
      <w:rPr>
        <w:rFonts w:ascii="Times New Roman" w:hAnsi="Times New Roman" w:cs="Times New Roman" w:hint="default"/>
        <w:b w:val="false"/>
        <w:i w:val="false"/>
        <w:strike w:val="false"/>
        <w:dstrike w:val="false"/>
        <w:color w:val="000000"/>
        <w:position w:val="0"/>
        <w:sz w:val="20"/>
        <w:szCs w:val="20"/>
        <w:u w:val="none" w:color="000000"/>
        <w:shd w:fill="auto" w:val="clear"/>
        <w:vertAlign w:val="baseline"/>
      </w:rPr>
    </w:lvl>
  </w:abstractNum>
  <w:abstractNum w:abstractNumId="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pl-PL" w:eastAsia="pl-PL"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lineRule="auto" w:line="271" w:before="0" w:after="11"/>
      <w:ind w:hanging="8" w:start="8"/>
      <w:jc w:val="both"/>
    </w:pPr>
    <w:rPr>
      <w:rFonts w:ascii="Times New Roman" w:hAnsi="Times New Roman" w:eastAsia="Times New Roman" w:cs="Times New Roman"/>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qFormat/>
    <w:rsid w:val="00385822"/>
    <w:rPr>
      <w:rFonts w:ascii="Times New Roman" w:hAnsi="Times New Roman" w:eastAsia="Times New Roman" w:cs="Times New Roman"/>
      <w:color w:val="000000"/>
      <w:sz w:val="20"/>
    </w:rPr>
  </w:style>
  <w:style w:type="character" w:styleId="StopkaZnak" w:customStyle="1">
    <w:name w:val="Stopka Znak"/>
    <w:basedOn w:val="DefaultParagraphFont"/>
    <w:uiPriority w:val="99"/>
    <w:qFormat/>
    <w:rsid w:val="00385822"/>
    <w:rPr>
      <w:rFonts w:cs="Times New Roman"/>
    </w:rPr>
  </w:style>
  <w:style w:type="character" w:styleId="TekstdymkaZnak" w:customStyle="1">
    <w:name w:val="Tekst dymka Znak"/>
    <w:basedOn w:val="DefaultParagraphFont"/>
    <w:link w:val="BalloonText"/>
    <w:uiPriority w:val="99"/>
    <w:semiHidden/>
    <w:qFormat/>
    <w:rsid w:val="0004324d"/>
    <w:rPr>
      <w:rFonts w:ascii="Segoe UI" w:hAnsi="Segoe UI" w:eastAsia="Times New Roman" w:cs="Segoe UI"/>
      <w:color w:val="000000"/>
      <w:sz w:val="18"/>
      <w:szCs w:val="18"/>
    </w:rPr>
  </w:style>
  <w:style w:type="paragraph" w:styleId="Nagwek">
    <w:name w:val="Nagłówek"/>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Times New Roman" w:hAnsi="Times New Roman" w:cs="Arial Unicode MS"/>
    </w:rPr>
  </w:style>
  <w:style w:type="paragraph" w:styleId="Caption">
    <w:name w:val="caption"/>
    <w:basedOn w:val="Normal"/>
    <w:qFormat/>
    <w:pPr>
      <w:suppressLineNumbers/>
      <w:spacing w:before="120" w:after="120"/>
    </w:pPr>
    <w:rPr>
      <w:rFonts w:ascii="Times New Roman" w:hAnsi="Times New Roman" w:cs="Arial Unicode MS"/>
      <w:i/>
      <w:iCs/>
      <w:sz w:val="24"/>
      <w:szCs w:val="24"/>
    </w:rPr>
  </w:style>
  <w:style w:type="paragraph" w:styleId="Indeks">
    <w:name w:val="Indeks"/>
    <w:basedOn w:val="Normal"/>
    <w:qFormat/>
    <w:pPr>
      <w:suppressLineNumbers/>
    </w:pPr>
    <w:rPr>
      <w:rFonts w:ascii="Times New Roman" w:hAnsi="Times New Roman" w:cs="Arial Unicode MS"/>
    </w:rPr>
  </w:style>
  <w:style w:type="paragraph" w:styleId="Gwkaistopka">
    <w:name w:val="Główka i stopka"/>
    <w:basedOn w:val="Normal"/>
    <w:qFormat/>
    <w:pPr/>
    <w:rPr/>
  </w:style>
  <w:style w:type="paragraph" w:styleId="Header">
    <w:name w:val="header"/>
    <w:basedOn w:val="Normal"/>
    <w:link w:val="NagwekZnak"/>
    <w:uiPriority w:val="99"/>
    <w:unhideWhenUsed/>
    <w:rsid w:val="00385822"/>
    <w:pPr>
      <w:tabs>
        <w:tab w:val="clear" w:pos="708"/>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385822"/>
    <w:pPr>
      <w:tabs>
        <w:tab w:val="clear" w:pos="708"/>
        <w:tab w:val="center" w:pos="4680" w:leader="none"/>
        <w:tab w:val="right" w:pos="9360" w:leader="none"/>
      </w:tabs>
      <w:spacing w:lineRule="auto" w:line="240" w:before="0" w:after="0"/>
      <w:ind w:hanging="0" w:start="0"/>
      <w:jc w:val="start"/>
    </w:pPr>
    <w:rPr>
      <w:rFonts w:ascii="Calibri" w:hAnsi="Calibri" w:eastAsia="" w:asciiTheme="minorHAnsi" w:eastAsiaTheme="minorEastAsia" w:hAnsiTheme="minorHAnsi"/>
      <w:color w:val="auto"/>
      <w:sz w:val="22"/>
    </w:rPr>
  </w:style>
  <w:style w:type="paragraph" w:styleId="BalloonText">
    <w:name w:val="Balloon Text"/>
    <w:basedOn w:val="Normal"/>
    <w:link w:val="TekstdymkaZnak"/>
    <w:uiPriority w:val="99"/>
    <w:semiHidden/>
    <w:unhideWhenUsed/>
    <w:qFormat/>
    <w:rsid w:val="0004324d"/>
    <w:pPr>
      <w:spacing w:lineRule="auto" w:line="240" w:before="0" w:after="0"/>
    </w:pPr>
    <w:rPr>
      <w:rFonts w:ascii="Segoe UI" w:hAnsi="Segoe UI" w:cs="Segoe UI"/>
      <w:sz w:val="18"/>
      <w:szCs w:val="18"/>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19</TotalTime>
  <Application>LibreOffice/25.8.5.2$Windows_X86_64 LibreOffice_project/9c8b85f387cc00a89945a79c9e6239f32e450ac2</Application>
  <AppVersion>15.0000</AppVersion>
  <Pages>9</Pages>
  <Words>3330</Words>
  <Characters>22329</Characters>
  <CharactersWithSpaces>25750</CharactersWithSpaces>
  <Paragraphs>184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2025-04-22T07:41:00Z</dcterms:created>
  <dc:creator>Krzysztof</dc:creator>
  <dc:description/>
  <dc:language>pl-PL</dc:language>
  <cp:lastModifiedBy/>
  <cp:lastPrinted>2025-04-22T07:44:00Z</cp:lastPrinted>
  <dcterms:modified xsi:type="dcterms:W3CDTF">2026-04-14T11:33:57Z</dcterms:modified>
  <cp:revision>6</cp:revision>
  <dc:subject/>
  <dc:title>AWF-specyfikacja_wymagania_ogolne</dc:title>
</cp:coreProperties>
</file>

<file path=docProps/custom.xml><?xml version="1.0" encoding="utf-8"?>
<Properties xmlns="http://schemas.openxmlformats.org/officeDocument/2006/custom-properties" xmlns:vt="http://schemas.openxmlformats.org/officeDocument/2006/docPropsVTypes"/>
</file>